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460C1">
      <w:pPr>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办学能力评价应知应会（</w:t>
      </w:r>
      <w:r>
        <w:rPr>
          <w:rFonts w:hint="eastAsia" w:ascii="Times New Roman" w:hAnsi="Times New Roman" w:eastAsia="方正小标宋简体" w:cs="方正小标宋简体"/>
          <w:sz w:val="44"/>
          <w:szCs w:val="44"/>
          <w:lang w:val="en-US" w:eastAsia="zh-CN"/>
        </w:rPr>
        <w:t>教师</w:t>
      </w:r>
      <w:r>
        <w:rPr>
          <w:rFonts w:hint="eastAsia" w:ascii="Times New Roman" w:hAnsi="Times New Roman" w:eastAsia="方正小标宋简体" w:cs="方正小标宋简体"/>
          <w:sz w:val="44"/>
          <w:szCs w:val="44"/>
        </w:rPr>
        <w:t>篇</w:t>
      </w:r>
      <w:r>
        <w:rPr>
          <w:rFonts w:hint="eastAsia" w:ascii="Times New Roman" w:hAnsi="Times New Roman" w:eastAsia="方正小标宋简体" w:cs="方正小标宋简体"/>
          <w:sz w:val="44"/>
          <w:szCs w:val="44"/>
          <w:lang w:val="en-US" w:eastAsia="zh-CN"/>
        </w:rPr>
        <w:t>五</w:t>
      </w:r>
      <w:r>
        <w:rPr>
          <w:rFonts w:hint="eastAsia" w:ascii="Times New Roman" w:hAnsi="Times New Roman" w:eastAsia="方正小标宋简体" w:cs="方正小标宋简体"/>
          <w:sz w:val="44"/>
          <w:szCs w:val="44"/>
        </w:rPr>
        <w:t>）</w:t>
      </w:r>
    </w:p>
    <w:p w14:paraId="45D9CCCC">
      <w:pPr>
        <w:jc w:val="center"/>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办学条件监测指标解读</w:t>
      </w:r>
    </w:p>
    <w:p w14:paraId="562EA2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Q1.办学条件监测指标有哪些？</w:t>
      </w:r>
    </w:p>
    <w:p w14:paraId="4352BC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A1.见下表。</w:t>
      </w:r>
    </w:p>
    <w:tbl>
      <w:tblPr>
        <w:tblStyle w:val="2"/>
        <w:tblW w:w="87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9"/>
        <w:gridCol w:w="1459"/>
        <w:gridCol w:w="3216"/>
        <w:gridCol w:w="1277"/>
        <w:gridCol w:w="1591"/>
      </w:tblGrid>
      <w:tr w14:paraId="214D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94BE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bCs/>
                <w:i w:val="0"/>
                <w:iCs w:val="0"/>
                <w:color w:val="auto"/>
                <w:sz w:val="22"/>
                <w:szCs w:val="22"/>
                <w:highlight w:val="none"/>
                <w:u w:val="none"/>
              </w:rPr>
            </w:pPr>
            <w:r>
              <w:rPr>
                <w:rFonts w:hint="default" w:ascii="Times New Roman" w:hAnsi="Times New Roman" w:eastAsia="仿宋" w:cs="Times New Roman"/>
                <w:b/>
                <w:bCs/>
                <w:i w:val="0"/>
                <w:iCs w:val="0"/>
                <w:color w:val="auto"/>
                <w:kern w:val="0"/>
                <w:sz w:val="22"/>
                <w:szCs w:val="22"/>
                <w:highlight w:val="none"/>
                <w:u w:val="none"/>
                <w:lang w:val="en-US" w:eastAsia="zh-CN" w:bidi="ar"/>
              </w:rPr>
              <w:t>一级指标</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A068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bCs/>
                <w:i w:val="0"/>
                <w:iCs w:val="0"/>
                <w:color w:val="auto"/>
                <w:sz w:val="22"/>
                <w:szCs w:val="22"/>
                <w:highlight w:val="none"/>
                <w:u w:val="none"/>
              </w:rPr>
            </w:pPr>
            <w:r>
              <w:rPr>
                <w:rFonts w:hint="default" w:ascii="Times New Roman" w:hAnsi="Times New Roman" w:eastAsia="仿宋" w:cs="Times New Roman"/>
                <w:b/>
                <w:bCs/>
                <w:i w:val="0"/>
                <w:iCs w:val="0"/>
                <w:color w:val="auto"/>
                <w:kern w:val="0"/>
                <w:sz w:val="22"/>
                <w:szCs w:val="22"/>
                <w:highlight w:val="none"/>
                <w:u w:val="none"/>
                <w:lang w:val="en-US" w:eastAsia="zh-CN" w:bidi="ar"/>
              </w:rPr>
              <w:t>二级指标</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5D20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bCs/>
                <w:i w:val="0"/>
                <w:iCs w:val="0"/>
                <w:color w:val="auto"/>
                <w:sz w:val="22"/>
                <w:szCs w:val="22"/>
                <w:highlight w:val="none"/>
                <w:u w:val="none"/>
              </w:rPr>
            </w:pPr>
            <w:r>
              <w:rPr>
                <w:rFonts w:hint="default" w:ascii="Times New Roman" w:hAnsi="Times New Roman" w:eastAsia="仿宋" w:cs="Times New Roman"/>
                <w:b/>
                <w:bCs/>
                <w:i w:val="0"/>
                <w:iCs w:val="0"/>
                <w:color w:val="auto"/>
                <w:kern w:val="0"/>
                <w:sz w:val="22"/>
                <w:szCs w:val="22"/>
                <w:highlight w:val="none"/>
                <w:u w:val="none"/>
                <w:lang w:val="en-US" w:eastAsia="zh-CN" w:bidi="ar"/>
              </w:rPr>
              <w:t>监测点</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7C91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bCs/>
                <w:i w:val="0"/>
                <w:iCs w:val="0"/>
                <w:color w:val="auto"/>
                <w:sz w:val="22"/>
                <w:szCs w:val="22"/>
                <w:highlight w:val="none"/>
                <w:u w:val="none"/>
              </w:rPr>
            </w:pPr>
            <w:r>
              <w:rPr>
                <w:rFonts w:hint="default" w:ascii="Times New Roman" w:hAnsi="Times New Roman" w:eastAsia="仿宋" w:cs="Times New Roman"/>
                <w:b/>
                <w:bCs/>
                <w:i w:val="0"/>
                <w:iCs w:val="0"/>
                <w:color w:val="auto"/>
                <w:kern w:val="0"/>
                <w:sz w:val="22"/>
                <w:szCs w:val="22"/>
                <w:highlight w:val="none"/>
                <w:u w:val="none"/>
                <w:lang w:val="en-US" w:eastAsia="zh-CN" w:bidi="ar"/>
              </w:rPr>
              <w:t>单位</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07CB1">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bCs/>
                <w:i w:val="0"/>
                <w:iCs w:val="0"/>
                <w:color w:val="auto"/>
                <w:sz w:val="22"/>
                <w:szCs w:val="22"/>
                <w:highlight w:val="none"/>
                <w:u w:val="none"/>
              </w:rPr>
            </w:pPr>
            <w:r>
              <w:rPr>
                <w:rFonts w:hint="default" w:ascii="Times New Roman" w:hAnsi="Times New Roman" w:eastAsia="仿宋" w:cs="Times New Roman"/>
                <w:b/>
                <w:bCs/>
                <w:i w:val="0"/>
                <w:iCs w:val="0"/>
                <w:color w:val="auto"/>
                <w:kern w:val="0"/>
                <w:sz w:val="22"/>
                <w:szCs w:val="22"/>
                <w:highlight w:val="none"/>
                <w:u w:val="none"/>
                <w:lang w:val="en-US" w:eastAsia="zh-CN" w:bidi="ar"/>
              </w:rPr>
              <w:t>标准值</w:t>
            </w:r>
          </w:p>
        </w:tc>
      </w:tr>
      <w:tr w14:paraId="3DD9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1E35E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校</w:t>
            </w:r>
            <w:r>
              <w:rPr>
                <w:rFonts w:hint="default" w:ascii="Times New Roman" w:hAnsi="Times New Roman" w:eastAsia="仿宋" w:cs="Times New Roman"/>
                <w:i w:val="0"/>
                <w:iCs w:val="0"/>
                <w:color w:val="auto"/>
                <w:kern w:val="0"/>
                <w:sz w:val="22"/>
                <w:szCs w:val="22"/>
                <w:highlight w:val="none"/>
                <w:u w:val="none"/>
                <w:lang w:val="en-US" w:eastAsia="zh-CN" w:bidi="ar"/>
              </w:rPr>
              <w:br w:type="textWrapping"/>
            </w:r>
            <w:r>
              <w:rPr>
                <w:rFonts w:hint="default" w:ascii="Times New Roman" w:hAnsi="Times New Roman" w:eastAsia="仿宋" w:cs="Times New Roman"/>
                <w:i w:val="0"/>
                <w:iCs w:val="0"/>
                <w:color w:val="auto"/>
                <w:kern w:val="0"/>
                <w:sz w:val="22"/>
                <w:szCs w:val="22"/>
                <w:highlight w:val="none"/>
                <w:u w:val="none"/>
                <w:lang w:val="en-US" w:eastAsia="zh-CN" w:bidi="ar"/>
              </w:rPr>
              <w:t>园</w:t>
            </w:r>
            <w:r>
              <w:rPr>
                <w:rFonts w:hint="default" w:ascii="Times New Roman" w:hAnsi="Times New Roman" w:eastAsia="仿宋" w:cs="Times New Roman"/>
                <w:i w:val="0"/>
                <w:iCs w:val="0"/>
                <w:color w:val="auto"/>
                <w:kern w:val="0"/>
                <w:sz w:val="22"/>
                <w:szCs w:val="22"/>
                <w:highlight w:val="none"/>
                <w:u w:val="none"/>
                <w:lang w:val="en-US" w:eastAsia="zh-CN" w:bidi="ar"/>
              </w:rPr>
              <w:br w:type="textWrapping"/>
            </w:r>
            <w:r>
              <w:rPr>
                <w:rFonts w:hint="default" w:ascii="Times New Roman" w:hAnsi="Times New Roman" w:eastAsia="仿宋" w:cs="Times New Roman"/>
                <w:i w:val="0"/>
                <w:iCs w:val="0"/>
                <w:color w:val="auto"/>
                <w:kern w:val="0"/>
                <w:sz w:val="22"/>
                <w:szCs w:val="22"/>
                <w:highlight w:val="none"/>
                <w:u w:val="none"/>
                <w:lang w:val="en-US" w:eastAsia="zh-CN" w:bidi="ar"/>
              </w:rPr>
              <w:t>建</w:t>
            </w:r>
            <w:r>
              <w:rPr>
                <w:rFonts w:hint="default" w:ascii="Times New Roman" w:hAnsi="Times New Roman" w:eastAsia="仿宋" w:cs="Times New Roman"/>
                <w:i w:val="0"/>
                <w:iCs w:val="0"/>
                <w:color w:val="auto"/>
                <w:kern w:val="0"/>
                <w:sz w:val="22"/>
                <w:szCs w:val="22"/>
                <w:highlight w:val="none"/>
                <w:u w:val="none"/>
                <w:lang w:val="en-US" w:eastAsia="zh-CN" w:bidi="ar"/>
              </w:rPr>
              <w:br w:type="textWrapping"/>
            </w:r>
            <w:r>
              <w:rPr>
                <w:rFonts w:hint="default" w:ascii="Times New Roman" w:hAnsi="Times New Roman" w:eastAsia="仿宋" w:cs="Times New Roman"/>
                <w:i w:val="0"/>
                <w:iCs w:val="0"/>
                <w:color w:val="auto"/>
                <w:kern w:val="0"/>
                <w:sz w:val="22"/>
                <w:szCs w:val="22"/>
                <w:highlight w:val="none"/>
                <w:u w:val="none"/>
                <w:lang w:val="en-US" w:eastAsia="zh-CN" w:bidi="ar"/>
              </w:rPr>
              <w:t>设</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E2BA29">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1.校园占地</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B6EBD">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1.校园占地面积</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8B70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亩</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C4998">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≥150</w:t>
            </w:r>
          </w:p>
        </w:tc>
      </w:tr>
      <w:tr w14:paraId="025B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4FDA5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8D036F">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1B10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2.学校产权面积*</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A2F90">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平方米</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016DB">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动态监测点</w:t>
            </w:r>
          </w:p>
        </w:tc>
      </w:tr>
      <w:tr w14:paraId="6D05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1902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B002D6">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D34DE">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3.非学校产权面积（独立使用）*</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3FA15">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平方米</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B7EC">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动态监测点</w:t>
            </w:r>
          </w:p>
        </w:tc>
      </w:tr>
      <w:tr w14:paraId="6402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414669">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F1C92A">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D377">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4.非学校产权面积（共同使用）*</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4509F">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平方米</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8C0DE">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动态监测点</w:t>
            </w:r>
          </w:p>
        </w:tc>
      </w:tr>
      <w:tr w14:paraId="3B03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41CEC5">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0454E5">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FB177">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5.生均占地面积</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138B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kern w:val="0"/>
                <w:sz w:val="22"/>
                <w:szCs w:val="22"/>
                <w:highlight w:val="none"/>
                <w:u w:val="none"/>
                <w:lang w:val="en-US" w:eastAsia="zh-CN" w:bidi="ar"/>
              </w:rPr>
            </w:pPr>
            <w:r>
              <w:rPr>
                <w:rFonts w:hint="default" w:ascii="Times New Roman" w:hAnsi="Times New Roman" w:eastAsia="仿宋" w:cs="Times New Roman"/>
                <w:i w:val="0"/>
                <w:iCs w:val="0"/>
                <w:color w:val="auto"/>
                <w:kern w:val="0"/>
                <w:sz w:val="22"/>
                <w:szCs w:val="22"/>
                <w:highlight w:val="none"/>
                <w:u w:val="none"/>
                <w:lang w:val="en-US" w:eastAsia="zh-CN" w:bidi="ar"/>
              </w:rPr>
              <w:t>平方米/生</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23C5A">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≥54</w:t>
            </w:r>
          </w:p>
        </w:tc>
      </w:tr>
      <w:tr w14:paraId="577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4EB6E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AF30A6">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168E8">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6.生均体育场地设施面积</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8E349">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kern w:val="0"/>
                <w:sz w:val="22"/>
                <w:szCs w:val="22"/>
                <w:highlight w:val="none"/>
                <w:u w:val="none"/>
                <w:lang w:val="en-US" w:eastAsia="zh-CN" w:bidi="ar"/>
              </w:rPr>
            </w:pPr>
            <w:r>
              <w:rPr>
                <w:rFonts w:hint="default" w:ascii="Times New Roman" w:hAnsi="Times New Roman" w:eastAsia="仿宋" w:cs="Times New Roman"/>
                <w:i w:val="0"/>
                <w:iCs w:val="0"/>
                <w:color w:val="auto"/>
                <w:kern w:val="0"/>
                <w:sz w:val="22"/>
                <w:szCs w:val="22"/>
                <w:highlight w:val="none"/>
                <w:u w:val="none"/>
                <w:lang w:val="en-US" w:eastAsia="zh-CN" w:bidi="ar"/>
              </w:rPr>
              <w:t>平方米/生</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90415">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室外≥4.7</w:t>
            </w:r>
            <w:r>
              <w:rPr>
                <w:rFonts w:hint="default" w:ascii="Times New Roman" w:hAnsi="Times New Roman" w:eastAsia="仿宋" w:cs="Times New Roman"/>
                <w:i w:val="0"/>
                <w:iCs w:val="0"/>
                <w:color w:val="auto"/>
                <w:kern w:val="0"/>
                <w:sz w:val="22"/>
                <w:szCs w:val="22"/>
                <w:highlight w:val="none"/>
                <w:u w:val="none"/>
                <w:lang w:val="en-US" w:eastAsia="zh-CN" w:bidi="ar"/>
              </w:rPr>
              <w:br w:type="textWrapping"/>
            </w:r>
            <w:r>
              <w:rPr>
                <w:rFonts w:hint="default" w:ascii="Times New Roman" w:hAnsi="Times New Roman" w:eastAsia="仿宋" w:cs="Times New Roman"/>
                <w:i w:val="0"/>
                <w:iCs w:val="0"/>
                <w:color w:val="auto"/>
                <w:kern w:val="0"/>
                <w:sz w:val="22"/>
                <w:szCs w:val="22"/>
                <w:highlight w:val="none"/>
                <w:u w:val="none"/>
                <w:lang w:val="en-US" w:eastAsia="zh-CN" w:bidi="ar"/>
              </w:rPr>
              <w:t>室内≥0.3</w:t>
            </w:r>
          </w:p>
        </w:tc>
      </w:tr>
      <w:tr w14:paraId="3FE2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5A837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5F26E11">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2.生均宿舍</w:t>
            </w:r>
          </w:p>
        </w:tc>
        <w:tc>
          <w:tcPr>
            <w:tcW w:w="321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5CACEB2">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7.生均学生宿舍面积</w:t>
            </w:r>
          </w:p>
        </w:tc>
        <w:tc>
          <w:tcPr>
            <w:tcW w:w="127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717029A">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平方米/生</w:t>
            </w:r>
          </w:p>
        </w:tc>
        <w:tc>
          <w:tcPr>
            <w:tcW w:w="159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14D7BCD">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≥6.5</w:t>
            </w:r>
          </w:p>
        </w:tc>
      </w:tr>
      <w:tr w14:paraId="6096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1EFCB0F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tcBorders>
              <w:top w:val="single" w:color="auto" w:sz="4" w:space="0"/>
              <w:left w:val="single" w:color="auto" w:sz="4" w:space="0"/>
              <w:bottom w:val="single" w:color="auto" w:sz="4" w:space="0"/>
              <w:right w:val="single" w:color="auto" w:sz="4" w:space="0"/>
            </w:tcBorders>
            <w:shd w:val="clear" w:color="auto" w:fill="FFFFFF"/>
            <w:vAlign w:val="center"/>
          </w:tcPr>
          <w:p w14:paraId="005828DF">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3.生均教学行政用房</w:t>
            </w:r>
          </w:p>
        </w:tc>
        <w:tc>
          <w:tcPr>
            <w:tcW w:w="3216" w:type="dxa"/>
            <w:tcBorders>
              <w:top w:val="single" w:color="auto" w:sz="4" w:space="0"/>
              <w:left w:val="single" w:color="auto" w:sz="4" w:space="0"/>
              <w:bottom w:val="single" w:color="auto" w:sz="4" w:space="0"/>
              <w:right w:val="single" w:color="auto" w:sz="4" w:space="0"/>
            </w:tcBorders>
            <w:shd w:val="clear" w:color="auto" w:fill="FFFFFF"/>
            <w:vAlign w:val="center"/>
          </w:tcPr>
          <w:p w14:paraId="1C67E510">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8.生均教学行政用房面积</w:t>
            </w: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27684B6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平方米/生</w:t>
            </w:r>
          </w:p>
        </w:tc>
        <w:tc>
          <w:tcPr>
            <w:tcW w:w="1591" w:type="dxa"/>
            <w:tcBorders>
              <w:top w:val="single" w:color="auto" w:sz="4" w:space="0"/>
              <w:left w:val="single" w:color="auto" w:sz="4" w:space="0"/>
              <w:bottom w:val="single" w:color="auto" w:sz="4" w:space="0"/>
              <w:right w:val="single" w:color="auto" w:sz="4" w:space="0"/>
            </w:tcBorders>
            <w:shd w:val="clear" w:color="auto" w:fill="FFFFFF"/>
            <w:vAlign w:val="center"/>
          </w:tcPr>
          <w:p w14:paraId="7C0696FC">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≥9</w:t>
            </w:r>
          </w:p>
        </w:tc>
      </w:tr>
      <w:tr w14:paraId="7C4B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26B85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教</w:t>
            </w:r>
            <w:r>
              <w:rPr>
                <w:rFonts w:hint="default" w:ascii="Times New Roman" w:hAnsi="Times New Roman" w:eastAsia="仿宋" w:cs="Times New Roman"/>
                <w:i w:val="0"/>
                <w:iCs w:val="0"/>
                <w:color w:val="auto"/>
                <w:kern w:val="0"/>
                <w:sz w:val="22"/>
                <w:szCs w:val="22"/>
                <w:highlight w:val="none"/>
                <w:u w:val="none"/>
                <w:lang w:val="en-US" w:eastAsia="zh-CN" w:bidi="ar"/>
              </w:rPr>
              <w:br w:type="textWrapping"/>
            </w:r>
            <w:r>
              <w:rPr>
                <w:rFonts w:hint="default" w:ascii="Times New Roman" w:hAnsi="Times New Roman" w:eastAsia="仿宋" w:cs="Times New Roman"/>
                <w:i w:val="0"/>
                <w:iCs w:val="0"/>
                <w:color w:val="auto"/>
                <w:kern w:val="0"/>
                <w:sz w:val="22"/>
                <w:szCs w:val="22"/>
                <w:highlight w:val="none"/>
                <w:u w:val="none"/>
                <w:lang w:val="en-US" w:eastAsia="zh-CN" w:bidi="ar"/>
              </w:rPr>
              <w:t>学</w:t>
            </w:r>
            <w:r>
              <w:rPr>
                <w:rFonts w:hint="default" w:ascii="Times New Roman" w:hAnsi="Times New Roman" w:eastAsia="仿宋" w:cs="Times New Roman"/>
                <w:i w:val="0"/>
                <w:iCs w:val="0"/>
                <w:color w:val="auto"/>
                <w:kern w:val="0"/>
                <w:sz w:val="22"/>
                <w:szCs w:val="22"/>
                <w:highlight w:val="none"/>
                <w:u w:val="none"/>
                <w:lang w:val="en-US" w:eastAsia="zh-CN" w:bidi="ar"/>
              </w:rPr>
              <w:br w:type="textWrapping"/>
            </w:r>
            <w:r>
              <w:rPr>
                <w:rFonts w:hint="default" w:ascii="Times New Roman" w:hAnsi="Times New Roman" w:eastAsia="仿宋" w:cs="Times New Roman"/>
                <w:i w:val="0"/>
                <w:iCs w:val="0"/>
                <w:color w:val="auto"/>
                <w:kern w:val="0"/>
                <w:sz w:val="22"/>
                <w:szCs w:val="22"/>
                <w:highlight w:val="none"/>
                <w:u w:val="none"/>
                <w:lang w:val="en-US" w:eastAsia="zh-CN" w:bidi="ar"/>
              </w:rPr>
              <w:t>条</w:t>
            </w:r>
            <w:r>
              <w:rPr>
                <w:rFonts w:hint="default" w:ascii="Times New Roman" w:hAnsi="Times New Roman" w:eastAsia="仿宋" w:cs="Times New Roman"/>
                <w:i w:val="0"/>
                <w:iCs w:val="0"/>
                <w:color w:val="auto"/>
                <w:kern w:val="0"/>
                <w:sz w:val="22"/>
                <w:szCs w:val="22"/>
                <w:highlight w:val="none"/>
                <w:u w:val="none"/>
                <w:lang w:val="en-US" w:eastAsia="zh-CN" w:bidi="ar"/>
              </w:rPr>
              <w:br w:type="textWrapping"/>
            </w:r>
            <w:r>
              <w:rPr>
                <w:rFonts w:hint="default" w:ascii="Times New Roman" w:hAnsi="Times New Roman" w:eastAsia="仿宋" w:cs="Times New Roman"/>
                <w:i w:val="0"/>
                <w:iCs w:val="0"/>
                <w:color w:val="auto"/>
                <w:kern w:val="0"/>
                <w:sz w:val="22"/>
                <w:szCs w:val="22"/>
                <w:highlight w:val="none"/>
                <w:u w:val="none"/>
                <w:lang w:val="en-US" w:eastAsia="zh-CN" w:bidi="ar"/>
              </w:rPr>
              <w:t>件</w:t>
            </w:r>
          </w:p>
        </w:tc>
        <w:tc>
          <w:tcPr>
            <w:tcW w:w="1459"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7FC13A0F">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4.图书资源</w:t>
            </w:r>
          </w:p>
        </w:tc>
        <w:tc>
          <w:tcPr>
            <w:tcW w:w="321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01A3B6B">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9.图书资源总量*</w:t>
            </w:r>
          </w:p>
        </w:tc>
        <w:tc>
          <w:tcPr>
            <w:tcW w:w="1277"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C3D2007">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册</w:t>
            </w:r>
          </w:p>
        </w:tc>
        <w:tc>
          <w:tcPr>
            <w:tcW w:w="159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3D5EA9F">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动态监测点</w:t>
            </w:r>
          </w:p>
        </w:tc>
      </w:tr>
      <w:tr w14:paraId="77B2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EE86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9B50B0">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D273A">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10.其中：纸质图书总册数*</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A095E">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册</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66E8C">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动态监测点</w:t>
            </w:r>
          </w:p>
        </w:tc>
      </w:tr>
      <w:tr w14:paraId="335A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602AE1">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85462">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A89B2">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11.其中：数字资源量*</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56CC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册</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E2F32">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动态监测点</w:t>
            </w:r>
          </w:p>
        </w:tc>
      </w:tr>
      <w:tr w14:paraId="6DEE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9FA8FA">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F0F69">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7F907">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12.生均图书</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04E85">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册/生</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E37E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≥80</w:t>
            </w:r>
          </w:p>
        </w:tc>
      </w:tr>
      <w:tr w14:paraId="38DA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E429C2">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C94E81">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08949">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13.生均年进书量</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E1B3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册/生</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5466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≥3</w:t>
            </w:r>
          </w:p>
        </w:tc>
      </w:tr>
      <w:tr w14:paraId="3D0F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F38E95">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7700E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5.数字化建设</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DBA4F">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14.百名学生配教学用计算机台数</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B6E3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台</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64A42">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≥8</w:t>
            </w:r>
          </w:p>
        </w:tc>
      </w:tr>
      <w:tr w14:paraId="18A6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7612C7">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876A95">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9A397">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15.接入互联网出口带宽</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82E6E">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Mbps</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A65FB">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≥1000</w:t>
            </w:r>
          </w:p>
        </w:tc>
      </w:tr>
      <w:tr w14:paraId="7AD8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DF915C">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252C1A">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C8929">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16.无线网络覆盖*</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36AF2">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34937">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常态监测点</w:t>
            </w:r>
          </w:p>
        </w:tc>
      </w:tr>
      <w:tr w14:paraId="57B4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9451DF">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D53A37">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AD290">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17.网络生均教学资源量*</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86CA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GB</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0CE9E">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常态监测点</w:t>
            </w:r>
          </w:p>
        </w:tc>
      </w:tr>
      <w:tr w14:paraId="7C0B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589A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1E9066">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6.仪器设备</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BC12F">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18.生均教学科研仪器设备值</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E29B9">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元/生</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AE738">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≥3000</w:t>
            </w:r>
          </w:p>
        </w:tc>
      </w:tr>
      <w:tr w14:paraId="6225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495EF1">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FC9E54">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8398A">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19.当年新增教学科研仪器设备所占比例</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A7282">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万元</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EC12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≥1000</w:t>
            </w:r>
          </w:p>
        </w:tc>
      </w:tr>
      <w:tr w14:paraId="23CD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40BA1B">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5405CB">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7.实训条件</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E960B">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20.校内实训基地数量*</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30EAB">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个</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DCA15">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动态监测点</w:t>
            </w:r>
          </w:p>
        </w:tc>
      </w:tr>
      <w:tr w14:paraId="63DA1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1C78F9">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7BD1A1">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D705E">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21.其中：省级以上实训基地数*</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82CCB">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个</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8120F">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动态监测点</w:t>
            </w:r>
          </w:p>
        </w:tc>
      </w:tr>
      <w:tr w14:paraId="0884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A901DB">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6F544A">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5EE5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22.其中：虚拟仿真实训基地数*</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2067">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个</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97EF5">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动态监测点</w:t>
            </w:r>
          </w:p>
        </w:tc>
      </w:tr>
      <w:tr w14:paraId="34C6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33BC7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68DA4C">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23A55">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23.生均校内实训基地工位数*</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62531">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个</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2518C">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动态监测点</w:t>
            </w:r>
          </w:p>
        </w:tc>
      </w:tr>
      <w:tr w14:paraId="2A16E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384787">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BED92D">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FB2F9">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24.校外实训基地数量*</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02128">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个</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31025">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动态监测点</w:t>
            </w:r>
          </w:p>
        </w:tc>
      </w:tr>
      <w:tr w14:paraId="7C05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D2C512">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1B94AC">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4E30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25.建立校外实训基地企业数*</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1B2DE">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个</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11890">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动态监测点</w:t>
            </w:r>
          </w:p>
        </w:tc>
      </w:tr>
      <w:tr w14:paraId="759E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66CAE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师</w:t>
            </w:r>
            <w:r>
              <w:rPr>
                <w:rFonts w:hint="default" w:ascii="Times New Roman" w:hAnsi="Times New Roman" w:eastAsia="仿宋"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 w:cs="Times New Roman"/>
                <w:b w:val="0"/>
                <w:bCs w:val="0"/>
                <w:i w:val="0"/>
                <w:iCs w:val="0"/>
                <w:color w:val="auto"/>
                <w:kern w:val="0"/>
                <w:sz w:val="22"/>
                <w:szCs w:val="22"/>
                <w:highlight w:val="none"/>
                <w:u w:val="none"/>
                <w:lang w:val="en-US" w:eastAsia="zh-CN" w:bidi="ar"/>
              </w:rPr>
              <w:t>资</w:t>
            </w:r>
            <w:r>
              <w:rPr>
                <w:rFonts w:hint="default" w:ascii="Times New Roman" w:hAnsi="Times New Roman" w:eastAsia="仿宋"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 w:cs="Times New Roman"/>
                <w:b w:val="0"/>
                <w:bCs w:val="0"/>
                <w:i w:val="0"/>
                <w:iCs w:val="0"/>
                <w:color w:val="auto"/>
                <w:kern w:val="0"/>
                <w:sz w:val="22"/>
                <w:szCs w:val="22"/>
                <w:highlight w:val="none"/>
                <w:u w:val="none"/>
                <w:lang w:val="en-US" w:eastAsia="zh-CN" w:bidi="ar"/>
              </w:rPr>
              <w:t>队</w:t>
            </w:r>
            <w:r>
              <w:rPr>
                <w:rFonts w:hint="default" w:ascii="Times New Roman" w:hAnsi="Times New Roman" w:eastAsia="仿宋"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 w:cs="Times New Roman"/>
                <w:b w:val="0"/>
                <w:bCs w:val="0"/>
                <w:i w:val="0"/>
                <w:iCs w:val="0"/>
                <w:color w:val="auto"/>
                <w:kern w:val="0"/>
                <w:sz w:val="22"/>
                <w:szCs w:val="22"/>
                <w:highlight w:val="none"/>
                <w:u w:val="none"/>
                <w:lang w:val="en-US" w:eastAsia="zh-CN" w:bidi="ar"/>
              </w:rPr>
              <w:t>伍</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C4E7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8.专任教师配备</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D1CBE">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26.专任教师数量*</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04970">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人</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A2295">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动态监测点</w:t>
            </w:r>
          </w:p>
        </w:tc>
      </w:tr>
      <w:tr w14:paraId="6B2D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53C3A">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7065D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9.兼职教师配备</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10808">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27.兼职教师数量*</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2061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人</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EE511">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动态监测点</w:t>
            </w:r>
          </w:p>
        </w:tc>
      </w:tr>
      <w:tr w14:paraId="176A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90723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9C4D3">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b w:val="0"/>
                <w:bCs w:val="0"/>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9CF8B">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28.其中：校外教师数量*</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CDBBD">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人</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8246D">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动态监测点</w:t>
            </w:r>
          </w:p>
        </w:tc>
      </w:tr>
      <w:tr w14:paraId="3F00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632FF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DC4FC5">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b w:val="0"/>
                <w:bCs w:val="0"/>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904FF">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29.其中：行业导师数量*</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F43A6">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人</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A208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动态监测点</w:t>
            </w:r>
          </w:p>
        </w:tc>
      </w:tr>
      <w:tr w14:paraId="7A01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E21E6">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328518">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b w:val="0"/>
                <w:bCs w:val="0"/>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8FA71">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30.兼职教师占专兼职教师总数的比例</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16BBC">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8E3EF">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≤30</w:t>
            </w:r>
          </w:p>
        </w:tc>
      </w:tr>
      <w:tr w14:paraId="08AA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ED25D4">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EDFA69">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b w:val="0"/>
                <w:bCs w:val="0"/>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344AC">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31.行业导师占专兼职教师总数的比例</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91741">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F205D">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≥25</w:t>
            </w:r>
          </w:p>
        </w:tc>
      </w:tr>
      <w:tr w14:paraId="2E45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55198F">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F27E99">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b w:val="0"/>
                <w:bCs w:val="0"/>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75049">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32.行业导师承担专业课教学任务课时占学校专业课总课时比例</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F8B49">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B81BF">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≥15</w:t>
            </w:r>
          </w:p>
        </w:tc>
      </w:tr>
      <w:tr w14:paraId="73FB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B4CE82">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4425D">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10.外籍教师配备</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9F49F">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33.外籍教师数量*</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66E72">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人</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C6D6C">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动态监测点</w:t>
            </w:r>
          </w:p>
        </w:tc>
      </w:tr>
      <w:tr w14:paraId="1488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2DAC1F">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24FF0">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11.生师比</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53BC5">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34.生师比</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8855A">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D0EDA">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≤18</w:t>
            </w:r>
          </w:p>
        </w:tc>
      </w:tr>
      <w:tr w14:paraId="13EF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CC2654">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5299B">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12.银龄计划</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287D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35.银龄教师数量*</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2704B">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人</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6B7BC">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动态监测点</w:t>
            </w:r>
          </w:p>
        </w:tc>
      </w:tr>
      <w:tr w14:paraId="37C4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889F62">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37CEC">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13.</w:t>
            </w:r>
            <w:r>
              <w:rPr>
                <w:rFonts w:hint="eastAsia" w:ascii="Times New Roman" w:hAnsi="Times New Roman" w:eastAsia="仿宋" w:cs="Times New Roman"/>
                <w:b w:val="0"/>
                <w:bCs w:val="0"/>
                <w:i w:val="0"/>
                <w:iCs w:val="0"/>
                <w:color w:val="auto"/>
                <w:kern w:val="0"/>
                <w:sz w:val="22"/>
                <w:szCs w:val="22"/>
                <w:highlight w:val="none"/>
                <w:u w:val="none"/>
                <w:lang w:val="en-US" w:eastAsia="zh-CN" w:bidi="ar"/>
              </w:rPr>
              <w:t>“</w:t>
            </w:r>
            <w:r>
              <w:rPr>
                <w:rFonts w:hint="default" w:ascii="Times New Roman" w:hAnsi="Times New Roman" w:eastAsia="仿宋" w:cs="Times New Roman"/>
                <w:b w:val="0"/>
                <w:bCs w:val="0"/>
                <w:i w:val="0"/>
                <w:iCs w:val="0"/>
                <w:color w:val="auto"/>
                <w:kern w:val="0"/>
                <w:sz w:val="22"/>
                <w:szCs w:val="22"/>
                <w:highlight w:val="none"/>
                <w:u w:val="none"/>
                <w:lang w:val="en-US" w:eastAsia="zh-CN" w:bidi="ar"/>
              </w:rPr>
              <w:t>双师</w:t>
            </w:r>
            <w:r>
              <w:rPr>
                <w:rFonts w:hint="eastAsia" w:ascii="Times New Roman" w:hAnsi="Times New Roman" w:eastAsia="仿宋" w:cs="Times New Roman"/>
                <w:b w:val="0"/>
                <w:bCs w:val="0"/>
                <w:i w:val="0"/>
                <w:iCs w:val="0"/>
                <w:color w:val="auto"/>
                <w:kern w:val="0"/>
                <w:sz w:val="22"/>
                <w:szCs w:val="22"/>
                <w:highlight w:val="none"/>
                <w:u w:val="none"/>
                <w:lang w:val="en-US" w:eastAsia="zh-CN" w:bidi="ar"/>
              </w:rPr>
              <w:t>”</w:t>
            </w:r>
            <w:r>
              <w:rPr>
                <w:rFonts w:hint="default" w:ascii="Times New Roman" w:hAnsi="Times New Roman" w:eastAsia="仿宋" w:cs="Times New Roman"/>
                <w:b w:val="0"/>
                <w:bCs w:val="0"/>
                <w:i w:val="0"/>
                <w:iCs w:val="0"/>
                <w:color w:val="auto"/>
                <w:kern w:val="0"/>
                <w:sz w:val="22"/>
                <w:szCs w:val="22"/>
                <w:highlight w:val="none"/>
                <w:u w:val="none"/>
                <w:lang w:val="en-US" w:eastAsia="zh-CN" w:bidi="ar"/>
              </w:rPr>
              <w:t>型教师配备</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D244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36.</w:t>
            </w:r>
            <w:r>
              <w:rPr>
                <w:rFonts w:hint="eastAsia" w:ascii="Times New Roman" w:hAnsi="Times New Roman" w:eastAsia="仿宋" w:cs="Times New Roman"/>
                <w:b w:val="0"/>
                <w:bCs w:val="0"/>
                <w:i w:val="0"/>
                <w:iCs w:val="0"/>
                <w:color w:val="auto"/>
                <w:kern w:val="0"/>
                <w:sz w:val="22"/>
                <w:szCs w:val="22"/>
                <w:highlight w:val="none"/>
                <w:u w:val="none"/>
                <w:lang w:val="en-US" w:eastAsia="zh-CN" w:bidi="ar"/>
              </w:rPr>
              <w:t>“</w:t>
            </w:r>
            <w:r>
              <w:rPr>
                <w:rFonts w:hint="default" w:ascii="Times New Roman" w:hAnsi="Times New Roman" w:eastAsia="仿宋" w:cs="Times New Roman"/>
                <w:b w:val="0"/>
                <w:bCs w:val="0"/>
                <w:i w:val="0"/>
                <w:iCs w:val="0"/>
                <w:color w:val="auto"/>
                <w:kern w:val="0"/>
                <w:sz w:val="22"/>
                <w:szCs w:val="22"/>
                <w:highlight w:val="none"/>
                <w:u w:val="none"/>
                <w:lang w:val="en-US" w:eastAsia="zh-CN" w:bidi="ar"/>
              </w:rPr>
              <w:t>双师</w:t>
            </w:r>
            <w:r>
              <w:rPr>
                <w:rFonts w:hint="eastAsia" w:ascii="Times New Roman" w:hAnsi="Times New Roman" w:eastAsia="仿宋" w:cs="Times New Roman"/>
                <w:b w:val="0"/>
                <w:bCs w:val="0"/>
                <w:i w:val="0"/>
                <w:iCs w:val="0"/>
                <w:color w:val="auto"/>
                <w:kern w:val="0"/>
                <w:sz w:val="22"/>
                <w:szCs w:val="22"/>
                <w:highlight w:val="none"/>
                <w:u w:val="none"/>
                <w:lang w:val="en-US" w:eastAsia="zh-CN" w:bidi="ar"/>
              </w:rPr>
              <w:t>”</w:t>
            </w:r>
            <w:r>
              <w:rPr>
                <w:rFonts w:hint="default" w:ascii="Times New Roman" w:hAnsi="Times New Roman" w:eastAsia="仿宋" w:cs="Times New Roman"/>
                <w:b w:val="0"/>
                <w:bCs w:val="0"/>
                <w:i w:val="0"/>
                <w:iCs w:val="0"/>
                <w:color w:val="auto"/>
                <w:kern w:val="0"/>
                <w:sz w:val="22"/>
                <w:szCs w:val="22"/>
                <w:highlight w:val="none"/>
                <w:u w:val="none"/>
                <w:lang w:val="en-US" w:eastAsia="zh-CN" w:bidi="ar"/>
              </w:rPr>
              <w:t>型教师占专业课教师总数的比例</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BC2C6">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590EB">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≥50</w:t>
            </w:r>
          </w:p>
        </w:tc>
      </w:tr>
      <w:tr w14:paraId="7517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EA5A05">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66338">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14.专职辅导员配备</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9FAC0">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37.专职辅导员与全日制学生数之比</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05DBA">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52CF5">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≥1:200</w:t>
            </w:r>
          </w:p>
        </w:tc>
      </w:tr>
      <w:tr w14:paraId="0587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FA9665">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FA63D">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15.专职思政课教师配备</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F173D">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38.专职思政课教师与全日制学生数之比</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EC7C8">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3076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≥1:350</w:t>
            </w:r>
          </w:p>
        </w:tc>
      </w:tr>
      <w:tr w14:paraId="5DB8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439AEB">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5F99E">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16.专职心理健康教师配备</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AD8DE">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39.专职心理健康教育教师与全日制学生数之比</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0C57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89F71">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≥1:4000，且至少配备2人。</w:t>
            </w:r>
          </w:p>
        </w:tc>
      </w:tr>
      <w:tr w14:paraId="24ED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A5BC09">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9711D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17.教师职业能力</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B1009">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40.具有研究生学位教师占专任教师的比例</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289B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F7D4B">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≥15</w:t>
            </w:r>
          </w:p>
        </w:tc>
      </w:tr>
      <w:tr w14:paraId="7727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B0441">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C3ADB2">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b w:val="0"/>
                <w:bCs w:val="0"/>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014A0">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41.具有高级专业技术职务教师占专任教师的比例</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B63E7">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0B7AF">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≥20</w:t>
            </w:r>
          </w:p>
        </w:tc>
      </w:tr>
      <w:tr w14:paraId="2C80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52E1C5">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D21C08">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b w:val="0"/>
                <w:bCs w:val="0"/>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627EE">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42.专业课教师有相应的职业资格证书或职业技能等级证书比例*</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3042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CBD17">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动态监测点</w:t>
            </w:r>
          </w:p>
        </w:tc>
      </w:tr>
      <w:tr w14:paraId="4227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A6417">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b w:val="0"/>
                <w:bCs w:val="0"/>
                <w:i w:val="0"/>
                <w:iCs w:val="0"/>
                <w:color w:val="auto"/>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25236">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18.企业经历</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51F0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43.满足每年至少累计1个月参与企业实践或实训基地实训，或者每五年企业实践时间累计不少于6个月的专业课教师占专业课教师总数的比例</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45616">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081B9">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sz w:val="22"/>
                <w:szCs w:val="22"/>
                <w:highlight w:val="none"/>
                <w:u w:val="none"/>
              </w:rPr>
            </w:pPr>
            <w:r>
              <w:rPr>
                <w:rFonts w:hint="default" w:ascii="Times New Roman" w:hAnsi="Times New Roman" w:eastAsia="仿宋" w:cs="Times New Roman"/>
                <w:b w:val="0"/>
                <w:bCs w:val="0"/>
                <w:i w:val="0"/>
                <w:iCs w:val="0"/>
                <w:color w:val="auto"/>
                <w:kern w:val="0"/>
                <w:sz w:val="22"/>
                <w:szCs w:val="22"/>
                <w:highlight w:val="none"/>
                <w:u w:val="none"/>
                <w:lang w:val="en-US" w:eastAsia="zh-CN" w:bidi="ar"/>
              </w:rPr>
              <w:t>100%</w:t>
            </w:r>
          </w:p>
        </w:tc>
      </w:tr>
      <w:tr w14:paraId="711C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3188E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经</w:t>
            </w:r>
            <w:r>
              <w:rPr>
                <w:rFonts w:hint="default" w:ascii="Times New Roman" w:hAnsi="Times New Roman" w:eastAsia="仿宋" w:cs="Times New Roman"/>
                <w:i w:val="0"/>
                <w:iCs w:val="0"/>
                <w:color w:val="auto"/>
                <w:kern w:val="0"/>
                <w:sz w:val="22"/>
                <w:szCs w:val="22"/>
                <w:highlight w:val="none"/>
                <w:u w:val="none"/>
                <w:lang w:val="en-US" w:eastAsia="zh-CN" w:bidi="ar"/>
              </w:rPr>
              <w:br w:type="textWrapping"/>
            </w:r>
            <w:r>
              <w:rPr>
                <w:rFonts w:hint="default" w:ascii="Times New Roman" w:hAnsi="Times New Roman" w:eastAsia="仿宋" w:cs="Times New Roman"/>
                <w:i w:val="0"/>
                <w:iCs w:val="0"/>
                <w:color w:val="auto"/>
                <w:kern w:val="0"/>
                <w:sz w:val="22"/>
                <w:szCs w:val="22"/>
                <w:highlight w:val="none"/>
                <w:u w:val="none"/>
                <w:lang w:val="en-US" w:eastAsia="zh-CN" w:bidi="ar"/>
              </w:rPr>
              <w:t>费</w:t>
            </w:r>
            <w:r>
              <w:rPr>
                <w:rFonts w:hint="default" w:ascii="Times New Roman" w:hAnsi="Times New Roman" w:eastAsia="仿宋" w:cs="Times New Roman"/>
                <w:i w:val="0"/>
                <w:iCs w:val="0"/>
                <w:color w:val="auto"/>
                <w:kern w:val="0"/>
                <w:sz w:val="22"/>
                <w:szCs w:val="22"/>
                <w:highlight w:val="none"/>
                <w:u w:val="none"/>
                <w:lang w:val="en-US" w:eastAsia="zh-CN" w:bidi="ar"/>
              </w:rPr>
              <w:br w:type="textWrapping"/>
            </w:r>
            <w:r>
              <w:rPr>
                <w:rFonts w:hint="default" w:ascii="Times New Roman" w:hAnsi="Times New Roman" w:eastAsia="仿宋" w:cs="Times New Roman"/>
                <w:i w:val="0"/>
                <w:iCs w:val="0"/>
                <w:color w:val="auto"/>
                <w:kern w:val="0"/>
                <w:sz w:val="22"/>
                <w:szCs w:val="22"/>
                <w:highlight w:val="none"/>
                <w:u w:val="none"/>
                <w:lang w:val="en-US" w:eastAsia="zh-CN" w:bidi="ar"/>
              </w:rPr>
              <w:t>保</w:t>
            </w:r>
            <w:r>
              <w:rPr>
                <w:rFonts w:hint="default" w:ascii="Times New Roman" w:hAnsi="Times New Roman" w:eastAsia="仿宋" w:cs="Times New Roman"/>
                <w:i w:val="0"/>
                <w:iCs w:val="0"/>
                <w:color w:val="auto"/>
                <w:kern w:val="0"/>
                <w:sz w:val="22"/>
                <w:szCs w:val="22"/>
                <w:highlight w:val="none"/>
                <w:u w:val="none"/>
                <w:lang w:val="en-US" w:eastAsia="zh-CN" w:bidi="ar"/>
              </w:rPr>
              <w:br w:type="textWrapping"/>
            </w:r>
            <w:r>
              <w:rPr>
                <w:rFonts w:hint="default" w:ascii="Times New Roman" w:hAnsi="Times New Roman" w:eastAsia="仿宋" w:cs="Times New Roman"/>
                <w:i w:val="0"/>
                <w:iCs w:val="0"/>
                <w:color w:val="auto"/>
                <w:kern w:val="0"/>
                <w:sz w:val="22"/>
                <w:szCs w:val="22"/>
                <w:highlight w:val="none"/>
                <w:u w:val="none"/>
                <w:lang w:val="en-US" w:eastAsia="zh-CN" w:bidi="ar"/>
              </w:rPr>
              <w:t>障</w:t>
            </w: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93B0D">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19.生均财政拨款</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90A94">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44.年生均财政拨款水平</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72839">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元/生/年</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6CC18">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≥12000</w:t>
            </w:r>
          </w:p>
        </w:tc>
      </w:tr>
      <w:tr w14:paraId="7FAE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BD7909">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682017">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20.教学日常经费支出</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4AB78">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45.生均年教学日常运行支出</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708C7">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元/生/年</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938B1">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≥1200</w:t>
            </w:r>
          </w:p>
        </w:tc>
      </w:tr>
      <w:tr w14:paraId="3F35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31CFD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CF92F3">
            <w:pPr>
              <w:keepNext w:val="0"/>
              <w:keepLines w:val="0"/>
              <w:suppressLineNumbers w:val="0"/>
              <w:snapToGrid w:val="0"/>
              <w:spacing w:before="0" w:beforeAutospacing="0" w:after="0" w:afterAutospacing="0" w:line="240" w:lineRule="auto"/>
              <w:ind w:left="0" w:leftChars="0" w:right="0" w:rightChars="0" w:firstLine="0" w:firstLineChars="0"/>
              <w:jc w:val="left"/>
              <w:rPr>
                <w:rFonts w:hint="default" w:ascii="Times New Roman" w:hAnsi="Times New Roman" w:eastAsia="仿宋" w:cs="Times New Roman"/>
                <w:i w:val="0"/>
                <w:iCs w:val="0"/>
                <w:color w:val="auto"/>
                <w:sz w:val="22"/>
                <w:szCs w:val="22"/>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6C85">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46.教学日常运行支出占比</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9F507">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9003">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≥13</w:t>
            </w:r>
          </w:p>
        </w:tc>
      </w:tr>
      <w:tr w14:paraId="2B95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3BACC1">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i w:val="0"/>
                <w:iCs w:val="0"/>
                <w:color w:val="auto"/>
                <w:sz w:val="22"/>
                <w:szCs w:val="22"/>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093C0">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21.获得人社部门就业专项经费</w:t>
            </w:r>
          </w:p>
        </w:tc>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76F0C">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47.学校就业经费中获得人社部门就业专项经费占比*</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8969B">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78F12">
            <w:pPr>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动态监测点</w:t>
            </w:r>
          </w:p>
        </w:tc>
      </w:tr>
    </w:tbl>
    <w:p w14:paraId="76975B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Times New Roman"/>
          <w:b w:val="0"/>
          <w:bCs w:val="0"/>
          <w:kern w:val="2"/>
          <w:sz w:val="32"/>
          <w:szCs w:val="32"/>
          <w:lang w:val="en-US" w:eastAsia="zh-CN" w:bidi="ar-SA"/>
        </w:rPr>
      </w:pPr>
    </w:p>
    <w:p w14:paraId="3775BB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bookmarkStart w:id="0" w:name="_GoBack"/>
      <w:r>
        <w:rPr>
          <w:rFonts w:hint="eastAsia" w:ascii="Times New Roman" w:hAnsi="Times New Roman" w:eastAsia="仿宋_GB2312" w:cs="Times New Roman"/>
          <w:b w:val="0"/>
          <w:bCs w:val="0"/>
          <w:kern w:val="2"/>
          <w:sz w:val="32"/>
          <w:szCs w:val="32"/>
          <w:lang w:val="en-US" w:eastAsia="zh-CN" w:bidi="ar-SA"/>
        </w:rPr>
        <w:t>Q2.</w:t>
      </w:r>
      <w:r>
        <w:rPr>
          <w:rFonts w:hint="eastAsia" w:ascii="Times New Roman" w:hAnsi="Times New Roman" w:eastAsia="仿宋_GB2312" w:cs="Times New Roman"/>
          <w:b/>
          <w:bCs/>
          <w:kern w:val="2"/>
          <w:sz w:val="32"/>
          <w:szCs w:val="32"/>
          <w:lang w:val="en-US" w:eastAsia="zh-CN" w:bidi="ar-SA"/>
        </w:rPr>
        <w:t>办学条件监测为何分为“达标监测点”与“动态监测点”？它们各自的作用是什么？</w:t>
      </w:r>
    </w:p>
    <w:p w14:paraId="39B8BC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A2.</w:t>
      </w:r>
      <w:r>
        <w:rPr>
          <w:rFonts w:hint="eastAsia" w:ascii="Times New Roman" w:hAnsi="Times New Roman" w:eastAsia="仿宋_GB2312" w:cs="仿宋_GB2312"/>
          <w:i w:val="0"/>
          <w:iCs w:val="0"/>
          <w:caps w:val="0"/>
          <w:color w:val="333333"/>
          <w:spacing w:val="0"/>
          <w:sz w:val="32"/>
          <w:szCs w:val="32"/>
          <w:shd w:val="clear" w:fill="FFFFFF"/>
        </w:rPr>
        <w:t>这种分类体现了评价工作“守底线”与“促发展”的双重目标。“</w:t>
      </w:r>
      <w:r>
        <w:rPr>
          <w:rFonts w:hint="eastAsia" w:ascii="Times New Roman" w:hAnsi="Times New Roman" w:eastAsia="仿宋_GB2312" w:cs="仿宋_GB2312"/>
          <w:i w:val="0"/>
          <w:iCs w:val="0"/>
          <w:caps w:val="0"/>
          <w:color w:val="333333"/>
          <w:spacing w:val="0"/>
          <w:sz w:val="32"/>
          <w:szCs w:val="32"/>
          <w:shd w:val="clear" w:fill="FFFFFF"/>
          <w:lang w:val="en-US" w:eastAsia="zh-CN"/>
        </w:rPr>
        <w:t>达标</w:t>
      </w:r>
      <w:r>
        <w:rPr>
          <w:rFonts w:hint="eastAsia" w:ascii="Times New Roman" w:hAnsi="Times New Roman" w:eastAsia="仿宋_GB2312" w:cs="仿宋_GB2312"/>
          <w:i w:val="0"/>
          <w:iCs w:val="0"/>
          <w:caps w:val="0"/>
          <w:color w:val="333333"/>
          <w:spacing w:val="0"/>
          <w:sz w:val="32"/>
          <w:szCs w:val="32"/>
          <w:shd w:val="clear" w:fill="FFFFFF"/>
        </w:rPr>
        <w:t>监测点”是办学的刚性门槛与底线要求，共25个，如</w:t>
      </w:r>
      <w:r>
        <w:rPr>
          <w:rFonts w:hint="eastAsia" w:ascii="Times New Roman" w:hAnsi="Times New Roman" w:eastAsia="仿宋_GB2312" w:cs="仿宋_GB2312"/>
          <w:i w:val="0"/>
          <w:iCs w:val="0"/>
          <w:caps w:val="0"/>
          <w:color w:val="333333"/>
          <w:spacing w:val="0"/>
          <w:sz w:val="32"/>
          <w:szCs w:val="32"/>
          <w:shd w:val="clear" w:fill="FFFFFF"/>
          <w:lang w:val="en-US" w:eastAsia="zh-CN"/>
        </w:rPr>
        <w:t>生师比</w:t>
      </w:r>
      <w:r>
        <w:rPr>
          <w:rFonts w:hint="eastAsia" w:ascii="Times New Roman" w:hAnsi="Times New Roman" w:eastAsia="仿宋_GB2312" w:cs="仿宋_GB2312"/>
          <w:i w:val="0"/>
          <w:iCs w:val="0"/>
          <w:caps w:val="0"/>
          <w:color w:val="333333"/>
          <w:spacing w:val="0"/>
          <w:sz w:val="32"/>
          <w:szCs w:val="32"/>
          <w:shd w:val="clear" w:fill="FFFFFF"/>
        </w:rPr>
        <w:t>、生均占地面积、“双师型”教师</w:t>
      </w:r>
      <w:r>
        <w:rPr>
          <w:rFonts w:hint="eastAsia" w:ascii="Times New Roman" w:hAnsi="Times New Roman" w:eastAsia="仿宋_GB2312" w:cs="仿宋_GB2312"/>
          <w:i w:val="0"/>
          <w:iCs w:val="0"/>
          <w:caps w:val="0"/>
          <w:color w:val="333333"/>
          <w:spacing w:val="0"/>
          <w:sz w:val="32"/>
          <w:szCs w:val="32"/>
          <w:shd w:val="clear" w:fill="FFFFFF"/>
          <w:lang w:val="en-US" w:eastAsia="zh-CN"/>
        </w:rPr>
        <w:t>比例</w:t>
      </w:r>
      <w:r>
        <w:rPr>
          <w:rFonts w:hint="eastAsia" w:ascii="Times New Roman" w:hAnsi="Times New Roman" w:eastAsia="仿宋_GB2312" w:cs="仿宋_GB2312"/>
          <w:i w:val="0"/>
          <w:iCs w:val="0"/>
          <w:caps w:val="0"/>
          <w:color w:val="333333"/>
          <w:spacing w:val="0"/>
          <w:sz w:val="32"/>
          <w:szCs w:val="32"/>
          <w:shd w:val="clear" w:fill="FFFFFF"/>
        </w:rPr>
        <w:t>等。其作用是确保学校具备保障基本教育教学质量的最低条件，是必须达标的“硬杠”。而“动态监测点”共2</w:t>
      </w:r>
      <w:r>
        <w:rPr>
          <w:rFonts w:hint="eastAsia" w:ascii="Times New Roman" w:hAnsi="Times New Roman" w:eastAsia="仿宋_GB2312" w:cs="仿宋_GB2312"/>
          <w:i w:val="0"/>
          <w:iCs w:val="0"/>
          <w:caps w:val="0"/>
          <w:color w:val="333333"/>
          <w:spacing w:val="0"/>
          <w:sz w:val="32"/>
          <w:szCs w:val="32"/>
          <w:shd w:val="clear" w:fill="FFFFFF"/>
          <w:lang w:val="en-US" w:eastAsia="zh-CN"/>
        </w:rPr>
        <w:t>2</w:t>
      </w:r>
      <w:r>
        <w:rPr>
          <w:rFonts w:hint="eastAsia" w:ascii="Times New Roman" w:hAnsi="Times New Roman" w:eastAsia="仿宋_GB2312" w:cs="仿宋_GB2312"/>
          <w:i w:val="0"/>
          <w:iCs w:val="0"/>
          <w:caps w:val="0"/>
          <w:color w:val="333333"/>
          <w:spacing w:val="0"/>
          <w:sz w:val="32"/>
          <w:szCs w:val="32"/>
          <w:shd w:val="clear" w:fill="FFFFFF"/>
        </w:rPr>
        <w:t>个，如校外实训基地数、</w:t>
      </w:r>
      <w:r>
        <w:rPr>
          <w:rFonts w:hint="eastAsia" w:ascii="Times New Roman" w:hAnsi="Times New Roman" w:eastAsia="仿宋_GB2312" w:cs="仿宋_GB2312"/>
          <w:i w:val="0"/>
          <w:iCs w:val="0"/>
          <w:caps w:val="0"/>
          <w:color w:val="333333"/>
          <w:spacing w:val="0"/>
          <w:sz w:val="32"/>
          <w:szCs w:val="32"/>
          <w:shd w:val="clear" w:fill="FFFFFF"/>
          <w:lang w:val="en-US" w:eastAsia="zh-CN"/>
        </w:rPr>
        <w:t>图书资源总量</w:t>
      </w:r>
      <w:r>
        <w:rPr>
          <w:rFonts w:hint="eastAsia" w:ascii="Times New Roman" w:hAnsi="Times New Roman" w:eastAsia="仿宋_GB2312" w:cs="仿宋_GB2312"/>
          <w:i w:val="0"/>
          <w:iCs w:val="0"/>
          <w:caps w:val="0"/>
          <w:color w:val="333333"/>
          <w:spacing w:val="0"/>
          <w:sz w:val="32"/>
          <w:szCs w:val="32"/>
          <w:shd w:val="clear" w:fill="FFFFFF"/>
        </w:rPr>
        <w:t>、行业导师</w:t>
      </w:r>
      <w:r>
        <w:rPr>
          <w:rFonts w:hint="eastAsia" w:ascii="Times New Roman" w:hAnsi="Times New Roman" w:eastAsia="仿宋_GB2312" w:cs="仿宋_GB2312"/>
          <w:i w:val="0"/>
          <w:iCs w:val="0"/>
          <w:caps w:val="0"/>
          <w:color w:val="333333"/>
          <w:spacing w:val="0"/>
          <w:sz w:val="32"/>
          <w:szCs w:val="32"/>
          <w:shd w:val="clear" w:fill="FFFFFF"/>
          <w:lang w:val="en-US" w:eastAsia="zh-CN"/>
        </w:rPr>
        <w:t>数量</w:t>
      </w:r>
      <w:r>
        <w:rPr>
          <w:rFonts w:hint="eastAsia" w:ascii="Times New Roman" w:hAnsi="Times New Roman" w:eastAsia="仿宋_GB2312" w:cs="仿宋_GB2312"/>
          <w:i w:val="0"/>
          <w:iCs w:val="0"/>
          <w:caps w:val="0"/>
          <w:color w:val="333333"/>
          <w:spacing w:val="0"/>
          <w:sz w:val="32"/>
          <w:szCs w:val="32"/>
          <w:shd w:val="clear" w:fill="FFFFFF"/>
        </w:rPr>
        <w:t>等，是反映办学质量与发展潜力的发展性指标，它们不作强制达标评判，主要用于监测预警和横向对比，为学校自我诊断、明确内涵建设方向和教育行政部门科学决策提供动态数据支撑，引导学校在守住底线基础上追求更高水平。</w:t>
      </w:r>
    </w:p>
    <w:p w14:paraId="35D567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Q3.</w:t>
      </w:r>
      <w:r>
        <w:rPr>
          <w:rFonts w:hint="eastAsia" w:ascii="Times New Roman" w:hAnsi="Times New Roman" w:eastAsia="仿宋_GB2312" w:cs="Times New Roman"/>
          <w:b/>
          <w:bCs/>
          <w:kern w:val="2"/>
          <w:sz w:val="32"/>
          <w:szCs w:val="32"/>
          <w:lang w:val="en-US" w:eastAsia="zh-CN" w:bidi="ar-SA"/>
        </w:rPr>
        <w:t>学校在“师资队伍”方面需要重点关注哪些监测指标？</w:t>
      </w:r>
    </w:p>
    <w:p w14:paraId="6BD9AD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kern w:val="2"/>
          <w:sz w:val="32"/>
          <w:szCs w:val="32"/>
          <w:lang w:val="en-US" w:eastAsia="zh-CN" w:bidi="ar-SA"/>
        </w:rPr>
        <w:t>A3.</w:t>
      </w:r>
      <w:r>
        <w:rPr>
          <w:rFonts w:hint="eastAsia" w:ascii="Times New Roman" w:hAnsi="Times New Roman" w:eastAsia="仿宋_GB2312" w:cs="仿宋_GB2312"/>
          <w:i w:val="0"/>
          <w:iCs w:val="0"/>
          <w:caps w:val="0"/>
          <w:color w:val="333333"/>
          <w:spacing w:val="0"/>
          <w:sz w:val="32"/>
          <w:szCs w:val="32"/>
          <w:shd w:val="clear" w:fill="FFFFFF"/>
        </w:rPr>
        <w:t>师资队伍是评价的核心，需重点关注四大类指标。一是数量与结构，包括生师比（≤18:1）、专任教师数量、“双师型”教师占比（≥50%）、兼职教师占比（≤30%）等，确保师资充足、结构合理。二是关键岗位配备，包括专职辅导员（师生比≥1:200）、专职思政课教师（师生比≥1:350）、专职心理健康教师（师生比≥1:4000且至少2名）的达标情况。三是教师</w:t>
      </w:r>
      <w:r>
        <w:rPr>
          <w:rFonts w:hint="eastAsia" w:ascii="Times New Roman" w:hAnsi="Times New Roman" w:eastAsia="仿宋_GB2312" w:cs="仿宋_GB2312"/>
          <w:i w:val="0"/>
          <w:iCs w:val="0"/>
          <w:caps w:val="0"/>
          <w:color w:val="333333"/>
          <w:spacing w:val="0"/>
          <w:sz w:val="32"/>
          <w:szCs w:val="32"/>
          <w:shd w:val="clear" w:fill="FFFFFF"/>
          <w:lang w:val="en-US" w:eastAsia="zh-CN"/>
        </w:rPr>
        <w:t>职业能力</w:t>
      </w:r>
      <w:r>
        <w:rPr>
          <w:rFonts w:hint="eastAsia" w:ascii="Times New Roman" w:hAnsi="Times New Roman" w:eastAsia="仿宋_GB2312" w:cs="仿宋_GB2312"/>
          <w:i w:val="0"/>
          <w:iCs w:val="0"/>
          <w:caps w:val="0"/>
          <w:color w:val="333333"/>
          <w:spacing w:val="0"/>
          <w:sz w:val="32"/>
          <w:szCs w:val="32"/>
          <w:shd w:val="clear" w:fill="FFFFFF"/>
        </w:rPr>
        <w:t>，如具有研究生学位和高级职务教师的比例。四是企业经历，要求专业课教师每年累计至少1个月的企业实践，或者每五年企业实践时间累计不少于6个月。这些指标共同构成了衡量学校师资队伍水平的立体维度。</w:t>
      </w:r>
    </w:p>
    <w:p w14:paraId="5C26B8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Q4.</w:t>
      </w:r>
      <w:r>
        <w:rPr>
          <w:rFonts w:hint="eastAsia" w:ascii="Times New Roman" w:hAnsi="Times New Roman" w:eastAsia="仿宋_GB2312" w:cs="Times New Roman"/>
          <w:b/>
          <w:bCs/>
          <w:kern w:val="2"/>
          <w:sz w:val="32"/>
          <w:szCs w:val="32"/>
          <w:lang w:val="en-US" w:eastAsia="zh-CN" w:bidi="ar-SA"/>
        </w:rPr>
        <w:t>“生师比”是如何计算的？为何它如此重要？</w:t>
      </w:r>
    </w:p>
    <w:p w14:paraId="5027BF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kern w:val="2"/>
          <w:sz w:val="32"/>
          <w:szCs w:val="32"/>
          <w:lang w:val="en-US" w:eastAsia="zh-CN" w:bidi="ar-SA"/>
        </w:rPr>
        <w:t>A4.</w:t>
      </w:r>
      <w:r>
        <w:rPr>
          <w:rFonts w:hint="eastAsia" w:ascii="Times New Roman" w:hAnsi="Times New Roman" w:eastAsia="仿宋_GB2312" w:cs="仿宋_GB2312"/>
          <w:i w:val="0"/>
          <w:iCs w:val="0"/>
          <w:caps w:val="0"/>
          <w:color w:val="333333"/>
          <w:spacing w:val="0"/>
          <w:sz w:val="32"/>
          <w:szCs w:val="32"/>
          <w:shd w:val="clear" w:fill="FFFFFF"/>
        </w:rPr>
        <w:t>“生师比”并非简单的学生数除以专任教师数，而是一个综合折算后的比值。公式为折合在校生数（包括各类全日制及折算后的非全日制学生）除以折合教师总数（专任教师+折算后的校外教师、行业导师等）。它是衡量学校人力资源投入、反映教育教学活动强度和师资负荷的核心指标。达标的生师比是保障教学秩序正常、师生互动充分、人才培养质量的基础。若比例过高，意味着教师负担过重，可能直接影响教学效果和个性化指导，比例过低，则可能反映办学效益有待提高。</w:t>
      </w:r>
    </w:p>
    <w:p w14:paraId="0236A1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Q5.</w:t>
      </w:r>
      <w:r>
        <w:rPr>
          <w:rFonts w:hint="eastAsia" w:ascii="Times New Roman" w:hAnsi="Times New Roman" w:eastAsia="仿宋_GB2312" w:cs="Times New Roman"/>
          <w:b/>
          <w:bCs/>
          <w:kern w:val="2"/>
          <w:sz w:val="32"/>
          <w:szCs w:val="32"/>
          <w:lang w:val="en-US" w:eastAsia="zh-CN" w:bidi="ar-SA"/>
        </w:rPr>
        <w:t>请详细解释“双师型”教师的要求及其对高职教育的重要性。</w:t>
      </w:r>
    </w:p>
    <w:p w14:paraId="4DF0ED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kern w:val="2"/>
          <w:sz w:val="32"/>
          <w:szCs w:val="32"/>
          <w:lang w:val="en-US" w:eastAsia="zh-CN" w:bidi="ar-SA"/>
        </w:rPr>
        <w:t>A5.</w:t>
      </w:r>
      <w:r>
        <w:rPr>
          <w:rFonts w:hint="eastAsia" w:ascii="Times New Roman" w:hAnsi="Times New Roman" w:eastAsia="仿宋_GB2312" w:cs="仿宋_GB2312"/>
          <w:i w:val="0"/>
          <w:iCs w:val="0"/>
          <w:caps w:val="0"/>
          <w:color w:val="333333"/>
          <w:spacing w:val="0"/>
          <w:sz w:val="32"/>
          <w:szCs w:val="32"/>
          <w:shd w:val="clear" w:fill="FFFFFF"/>
        </w:rPr>
        <w:t>“双师型”教师特指同时具备理论教学和实践教学能力的专业课教师。根据国家要求，其占专业课教师总数的比例必须≥50%。这要求教师不仅要有扎实的理论功底，还必须持有相关的职业资格证书或技能等级证书，并具备相应的企业实践经历。其对高职教育至关重要，因为职业教育培养的是高素质技术技能人才，学生动手能力的培养离不开教师的实践指导。一支高水平的“双师型”教师队伍，是实现“做中学、学中做”、深化产教融合、确保人才培养与岗位需求无缝对接的关键所在，是职业教育类型特色的直接体现。</w:t>
      </w:r>
    </w:p>
    <w:p w14:paraId="2C966B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Q6.</w:t>
      </w:r>
      <w:r>
        <w:rPr>
          <w:rFonts w:hint="eastAsia" w:ascii="Times New Roman" w:hAnsi="Times New Roman" w:eastAsia="仿宋_GB2312" w:cs="Times New Roman"/>
          <w:b/>
          <w:bCs/>
          <w:kern w:val="2"/>
          <w:sz w:val="32"/>
          <w:szCs w:val="32"/>
          <w:lang w:val="en-US" w:eastAsia="zh-CN" w:bidi="ar-SA"/>
        </w:rPr>
        <w:t>在“教学条件”中，图书资源和教学仪器设备的达标要求是什么？</w:t>
      </w:r>
    </w:p>
    <w:p w14:paraId="2682A1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kern w:val="2"/>
          <w:sz w:val="32"/>
          <w:szCs w:val="32"/>
          <w:lang w:val="en-US" w:eastAsia="zh-CN" w:bidi="ar-SA"/>
        </w:rPr>
        <w:t>A6.</w:t>
      </w:r>
      <w:r>
        <w:rPr>
          <w:rFonts w:hint="eastAsia" w:ascii="Times New Roman" w:hAnsi="Times New Roman" w:eastAsia="仿宋_GB2312" w:cs="仿宋_GB2312"/>
          <w:i w:val="0"/>
          <w:iCs w:val="0"/>
          <w:caps w:val="0"/>
          <w:color w:val="333333"/>
          <w:spacing w:val="0"/>
          <w:sz w:val="32"/>
          <w:szCs w:val="32"/>
          <w:shd w:val="clear" w:fill="FFFFFF"/>
        </w:rPr>
        <w:t>图书资源方面，</w:t>
      </w:r>
      <w:r>
        <w:rPr>
          <w:rFonts w:hint="eastAsia" w:ascii="Times New Roman" w:hAnsi="Times New Roman" w:eastAsia="仿宋_GB2312" w:cs="仿宋_GB2312"/>
          <w:i w:val="0"/>
          <w:iCs w:val="0"/>
          <w:caps w:val="0"/>
          <w:color w:val="333333"/>
          <w:spacing w:val="0"/>
          <w:sz w:val="32"/>
          <w:szCs w:val="32"/>
          <w:shd w:val="clear" w:fill="FFFFFF"/>
          <w:lang w:val="en-US" w:eastAsia="zh-CN"/>
        </w:rPr>
        <w:t>财经</w:t>
      </w:r>
      <w:r>
        <w:rPr>
          <w:rFonts w:hint="eastAsia" w:ascii="Times New Roman" w:hAnsi="Times New Roman" w:eastAsia="仿宋_GB2312" w:cs="仿宋_GB2312"/>
          <w:i w:val="0"/>
          <w:iCs w:val="0"/>
          <w:caps w:val="0"/>
          <w:color w:val="333333"/>
          <w:spacing w:val="0"/>
          <w:sz w:val="32"/>
          <w:szCs w:val="32"/>
          <w:shd w:val="clear" w:fill="FFFFFF"/>
        </w:rPr>
        <w:t>类院校生均图书量须≥</w:t>
      </w:r>
      <w:r>
        <w:rPr>
          <w:rFonts w:hint="eastAsia" w:ascii="Times New Roman" w:hAnsi="Times New Roman" w:eastAsia="仿宋_GB2312" w:cs="仿宋_GB2312"/>
          <w:i w:val="0"/>
          <w:iCs w:val="0"/>
          <w:caps w:val="0"/>
          <w:color w:val="333333"/>
          <w:spacing w:val="0"/>
          <w:sz w:val="32"/>
          <w:szCs w:val="32"/>
          <w:shd w:val="clear" w:fill="FFFFFF"/>
          <w:lang w:val="en-US" w:eastAsia="zh-CN"/>
        </w:rPr>
        <w:t>8</w:t>
      </w:r>
      <w:r>
        <w:rPr>
          <w:rFonts w:hint="eastAsia" w:ascii="Times New Roman" w:hAnsi="Times New Roman" w:eastAsia="仿宋_GB2312" w:cs="仿宋_GB2312"/>
          <w:i w:val="0"/>
          <w:iCs w:val="0"/>
          <w:caps w:val="0"/>
          <w:color w:val="333333"/>
          <w:spacing w:val="0"/>
          <w:sz w:val="32"/>
          <w:szCs w:val="32"/>
          <w:shd w:val="clear" w:fill="FFFFFF"/>
        </w:rPr>
        <w:t>0册/生，且生均年进书量≥</w:t>
      </w:r>
      <w:r>
        <w:rPr>
          <w:rFonts w:hint="eastAsia" w:ascii="Times New Roman" w:hAnsi="Times New Roman" w:eastAsia="仿宋_GB2312" w:cs="仿宋_GB2312"/>
          <w:i w:val="0"/>
          <w:iCs w:val="0"/>
          <w:caps w:val="0"/>
          <w:color w:val="333333"/>
          <w:spacing w:val="0"/>
          <w:sz w:val="32"/>
          <w:szCs w:val="32"/>
          <w:shd w:val="clear" w:fill="FFFFFF"/>
          <w:lang w:val="en-US" w:eastAsia="zh-CN"/>
        </w:rPr>
        <w:t>3</w:t>
      </w:r>
      <w:r>
        <w:rPr>
          <w:rFonts w:hint="eastAsia" w:ascii="Times New Roman" w:hAnsi="Times New Roman" w:eastAsia="仿宋_GB2312" w:cs="仿宋_GB2312"/>
          <w:i w:val="0"/>
          <w:iCs w:val="0"/>
          <w:caps w:val="0"/>
          <w:color w:val="333333"/>
          <w:spacing w:val="0"/>
          <w:sz w:val="32"/>
          <w:szCs w:val="32"/>
          <w:shd w:val="clear" w:fill="FFFFFF"/>
        </w:rPr>
        <w:t>册/生。这里的“图书”是广义概念，包括纸质图书和按规定方法折合后的电子图书、期刊、学位论文、音视频等数字资源。教学仪器设备方面，生均教学科研仪器设备值须≥</w:t>
      </w:r>
      <w:r>
        <w:rPr>
          <w:rFonts w:hint="eastAsia" w:ascii="Times New Roman" w:hAnsi="Times New Roman" w:eastAsia="仿宋_GB2312" w:cs="仿宋_GB2312"/>
          <w:i w:val="0"/>
          <w:iCs w:val="0"/>
          <w:caps w:val="0"/>
          <w:color w:val="333333"/>
          <w:spacing w:val="0"/>
          <w:sz w:val="32"/>
          <w:szCs w:val="32"/>
          <w:shd w:val="clear" w:fill="FFFFFF"/>
          <w:lang w:val="en-US" w:eastAsia="zh-CN"/>
        </w:rPr>
        <w:t>3</w:t>
      </w:r>
      <w:r>
        <w:rPr>
          <w:rFonts w:hint="eastAsia" w:ascii="Times New Roman" w:hAnsi="Times New Roman" w:eastAsia="仿宋_GB2312" w:cs="仿宋_GB2312"/>
          <w:i w:val="0"/>
          <w:iCs w:val="0"/>
          <w:caps w:val="0"/>
          <w:color w:val="333333"/>
          <w:spacing w:val="0"/>
          <w:sz w:val="32"/>
          <w:szCs w:val="32"/>
          <w:shd w:val="clear" w:fill="FFFFFF"/>
        </w:rPr>
        <w:t>000元/生，且当年新增设备值所占比例须≥10%或当年新增教学仪器设备值超过1000万元。这两项指标共同保障了学生学习所需的文献信息保障体系和实践教学所需的硬件设施水平，是支撑教学科研活动顺利开展、拓宽学生知识视野和提升动手能力的物质基础。</w:t>
      </w:r>
    </w:p>
    <w:p w14:paraId="15A0C4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Q7.</w:t>
      </w:r>
      <w:r>
        <w:rPr>
          <w:rFonts w:hint="eastAsia" w:ascii="Times New Roman" w:hAnsi="Times New Roman" w:eastAsia="仿宋_GB2312" w:cs="Times New Roman"/>
          <w:b/>
          <w:bCs/>
          <w:kern w:val="2"/>
          <w:sz w:val="32"/>
          <w:szCs w:val="32"/>
          <w:lang w:val="en-US" w:eastAsia="zh-CN" w:bidi="ar-SA"/>
        </w:rPr>
        <w:t>将从哪些方面监测和评估学校的实习实训条件？</w:t>
      </w:r>
    </w:p>
    <w:p w14:paraId="7E2667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kern w:val="2"/>
          <w:sz w:val="32"/>
          <w:szCs w:val="32"/>
          <w:lang w:val="en-US" w:eastAsia="zh-CN" w:bidi="ar-SA"/>
        </w:rPr>
        <w:t>A7.</w:t>
      </w:r>
      <w:r>
        <w:rPr>
          <w:rFonts w:hint="eastAsia" w:ascii="Times New Roman" w:hAnsi="Times New Roman" w:eastAsia="仿宋_GB2312" w:cs="仿宋_GB2312"/>
          <w:i w:val="0"/>
          <w:iCs w:val="0"/>
          <w:caps w:val="0"/>
          <w:color w:val="333333"/>
          <w:spacing w:val="0"/>
          <w:sz w:val="32"/>
          <w:szCs w:val="32"/>
          <w:shd w:val="clear" w:fill="FFFFFF"/>
        </w:rPr>
        <w:t>实习实训条件的考察是一个系统性的过程。从监测角度看，主要看数量与规模，包括校内实训基地数量、虚拟仿真实训基地的数量、生均校内实训工位数、校外实训基地数量及合作企业数。从教学评估角度看，则更注重质量与效果，包括实训设备是否满足教学要求、实训经费是否有保障、实训基地是否基于真实生产环境、校外基地是否有效使用、实习岗位与内容是否与专业培养匹配、实习管理是否规范安全等。这两方面结合，全面衡量学校实践教学条件的“硬实力”和“软管理”。</w:t>
      </w:r>
    </w:p>
    <w:p w14:paraId="10FD80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Q8.</w:t>
      </w:r>
      <w:r>
        <w:rPr>
          <w:rStyle w:val="4"/>
          <w:rFonts w:ascii="Times New Roman" w:hAnsi="Times New Roman" w:eastAsia="方正仿宋_GB2312" w:cs="方正仿宋_GB2312"/>
          <w:b/>
          <w:bCs/>
          <w:i w:val="0"/>
          <w:iCs w:val="0"/>
          <w:caps w:val="0"/>
          <w:color w:val="333333"/>
          <w:spacing w:val="0"/>
          <w:sz w:val="31"/>
          <w:szCs w:val="31"/>
          <w:shd w:val="clear" w:fill="FFFFFF"/>
        </w:rPr>
        <w:t>“</w:t>
      </w:r>
      <w:r>
        <w:rPr>
          <w:rFonts w:hint="eastAsia" w:ascii="Times New Roman" w:hAnsi="Times New Roman" w:eastAsia="仿宋_GB2312" w:cs="Times New Roman"/>
          <w:b/>
          <w:bCs/>
          <w:kern w:val="2"/>
          <w:sz w:val="32"/>
          <w:szCs w:val="32"/>
          <w:lang w:val="en-US" w:eastAsia="zh-CN" w:bidi="ar-SA"/>
        </w:rPr>
        <w:t>经费保障”的监测点具体关注什么？它们如何体现对教学的投入？</w:t>
      </w:r>
    </w:p>
    <w:p w14:paraId="18E8CA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kern w:val="2"/>
          <w:sz w:val="32"/>
          <w:szCs w:val="32"/>
          <w:lang w:val="en-US" w:eastAsia="zh-CN" w:bidi="ar-SA"/>
        </w:rPr>
        <w:t>A8.</w:t>
      </w:r>
      <w:r>
        <w:rPr>
          <w:rFonts w:hint="eastAsia" w:ascii="Times New Roman" w:hAnsi="Times New Roman" w:eastAsia="仿宋_GB2312" w:cs="仿宋_GB2312"/>
          <w:i w:val="0"/>
          <w:iCs w:val="0"/>
          <w:caps w:val="0"/>
          <w:color w:val="333333"/>
          <w:spacing w:val="0"/>
          <w:sz w:val="32"/>
          <w:szCs w:val="32"/>
          <w:shd w:val="clear" w:fill="FFFFFF"/>
        </w:rPr>
        <w:t>经费保障主要关注三个核心监测点。一是年生均财政拨款水平≥12000元，反映政府主渠道投入力度。二是生均年教学日常运行支出≥1200元，这笔经费直接用于维持教学活动的商品和服务支出，如实验耗材、教师培训、学生活动、教学差旅等，是保障教学“生命线”运转的直接体现。三是教学日常运行支出占比≥13%，即上述教学日常支出占学校经常性教育拨款与学费收入之和的比例。这个指标至关重要，它衡量了学校是否真正将资金优先投入教学核心环节，是检验“教学中心地位”是否落实到资源分配上的“试金石”。</w:t>
      </w:r>
    </w:p>
    <w:p w14:paraId="2C2BED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Q9.</w:t>
      </w:r>
      <w:r>
        <w:rPr>
          <w:rFonts w:hint="eastAsia" w:ascii="Times New Roman" w:hAnsi="Times New Roman" w:eastAsia="仿宋_GB2312" w:cs="Times New Roman"/>
          <w:b/>
          <w:bCs/>
          <w:kern w:val="2"/>
          <w:sz w:val="32"/>
          <w:szCs w:val="32"/>
          <w:lang w:val="en-US" w:eastAsia="zh-CN" w:bidi="ar-SA"/>
        </w:rPr>
        <w:t>学校的校园占地面积和生均建筑面积有哪些具体标准？</w:t>
      </w:r>
    </w:p>
    <w:p w14:paraId="4D528B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kern w:val="2"/>
          <w:sz w:val="32"/>
          <w:szCs w:val="32"/>
          <w:lang w:val="en-US" w:eastAsia="zh-CN" w:bidi="ar-SA"/>
        </w:rPr>
        <w:t>A9.</w:t>
      </w:r>
      <w:r>
        <w:rPr>
          <w:rFonts w:hint="eastAsia" w:ascii="Times New Roman" w:hAnsi="Times New Roman" w:eastAsia="仿宋_GB2312" w:cs="仿宋_GB2312"/>
          <w:i w:val="0"/>
          <w:iCs w:val="0"/>
          <w:caps w:val="0"/>
          <w:color w:val="333333"/>
          <w:spacing w:val="0"/>
          <w:sz w:val="32"/>
          <w:szCs w:val="32"/>
          <w:shd w:val="clear" w:fill="FFFFFF"/>
        </w:rPr>
        <w:t>校园占地面积的总量要求是≥150亩。在此基础上，更精细的评价标准是各类生均面积。例如，</w:t>
      </w:r>
      <w:r>
        <w:rPr>
          <w:rFonts w:hint="eastAsia" w:ascii="Times New Roman" w:hAnsi="Times New Roman" w:eastAsia="仿宋_GB2312" w:cs="仿宋_GB2312"/>
          <w:i w:val="0"/>
          <w:iCs w:val="0"/>
          <w:caps w:val="0"/>
          <w:color w:val="333333"/>
          <w:spacing w:val="0"/>
          <w:sz w:val="32"/>
          <w:szCs w:val="32"/>
          <w:shd w:val="clear" w:fill="FFFFFF"/>
          <w:lang w:val="en-US" w:eastAsia="zh-CN"/>
        </w:rPr>
        <w:t>财经类</w:t>
      </w:r>
      <w:r>
        <w:rPr>
          <w:rFonts w:hint="eastAsia" w:ascii="Times New Roman" w:hAnsi="Times New Roman" w:eastAsia="仿宋_GB2312" w:cs="仿宋_GB2312"/>
          <w:i w:val="0"/>
          <w:iCs w:val="0"/>
          <w:caps w:val="0"/>
          <w:color w:val="333333"/>
          <w:spacing w:val="0"/>
          <w:sz w:val="32"/>
          <w:szCs w:val="32"/>
          <w:shd w:val="clear" w:fill="FFFFFF"/>
        </w:rPr>
        <w:t>院校生均占地面积应≥5</w:t>
      </w:r>
      <w:r>
        <w:rPr>
          <w:rFonts w:hint="eastAsia" w:ascii="Times New Roman" w:hAnsi="Times New Roman" w:eastAsia="仿宋_GB2312" w:cs="仿宋_GB2312"/>
          <w:i w:val="0"/>
          <w:iCs w:val="0"/>
          <w:caps w:val="0"/>
          <w:color w:val="333333"/>
          <w:spacing w:val="0"/>
          <w:sz w:val="32"/>
          <w:szCs w:val="32"/>
          <w:shd w:val="clear" w:fill="FFFFFF"/>
          <w:lang w:val="en-US" w:eastAsia="zh-CN"/>
        </w:rPr>
        <w:t>4</w:t>
      </w:r>
      <w:r>
        <w:rPr>
          <w:rFonts w:hint="eastAsia" w:ascii="Times New Roman" w:hAnsi="Times New Roman" w:eastAsia="仿宋_GB2312" w:cs="仿宋_GB2312"/>
          <w:i w:val="0"/>
          <w:iCs w:val="0"/>
          <w:caps w:val="0"/>
          <w:color w:val="333333"/>
          <w:spacing w:val="0"/>
          <w:sz w:val="32"/>
          <w:szCs w:val="32"/>
          <w:shd w:val="clear" w:fill="FFFFFF"/>
        </w:rPr>
        <w:t>平方米/生，生均教学行政用房面积应≥</w:t>
      </w:r>
      <w:r>
        <w:rPr>
          <w:rFonts w:hint="eastAsia" w:ascii="Times New Roman" w:hAnsi="Times New Roman" w:eastAsia="仿宋_GB2312" w:cs="仿宋_GB2312"/>
          <w:i w:val="0"/>
          <w:iCs w:val="0"/>
          <w:caps w:val="0"/>
          <w:color w:val="333333"/>
          <w:spacing w:val="0"/>
          <w:sz w:val="32"/>
          <w:szCs w:val="32"/>
          <w:shd w:val="clear" w:fill="FFFFFF"/>
          <w:lang w:val="en-US" w:eastAsia="zh-CN"/>
        </w:rPr>
        <w:t>9</w:t>
      </w:r>
      <w:r>
        <w:rPr>
          <w:rFonts w:hint="eastAsia" w:ascii="Times New Roman" w:hAnsi="Times New Roman" w:eastAsia="仿宋_GB2312" w:cs="仿宋_GB2312"/>
          <w:i w:val="0"/>
          <w:iCs w:val="0"/>
          <w:caps w:val="0"/>
          <w:color w:val="333333"/>
          <w:spacing w:val="0"/>
          <w:sz w:val="32"/>
          <w:szCs w:val="32"/>
          <w:shd w:val="clear" w:fill="FFFFFF"/>
        </w:rPr>
        <w:t>平方米/生，生均学生宿舍面积应≥6.5平方米/生。此外，体育场地设施也有明确要求，需达到“基本类”标准（室外≥4.7㎡/生，室内≥0.3㎡/生）。这些标准共同确保了校园能为师生提供足够的学习、工作、生活和运动空间，是办学的基本物质载体。</w:t>
      </w:r>
    </w:p>
    <w:p w14:paraId="050464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Q10.</w:t>
      </w:r>
      <w:r>
        <w:rPr>
          <w:rFonts w:hint="eastAsia" w:ascii="Times New Roman" w:hAnsi="Times New Roman" w:eastAsia="仿宋_GB2312" w:cs="Times New Roman"/>
          <w:b/>
          <w:bCs/>
          <w:kern w:val="2"/>
          <w:sz w:val="32"/>
          <w:szCs w:val="32"/>
          <w:lang w:val="en-US" w:eastAsia="zh-CN" w:bidi="ar-SA"/>
        </w:rPr>
        <w:t>对于“兼职教师”和“行业导师”，评价指标有何不同的侧重点？</w:t>
      </w:r>
    </w:p>
    <w:p w14:paraId="215DA2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i w:val="0"/>
          <w:iCs w:val="0"/>
          <w:caps w:val="0"/>
          <w:color w:val="333333"/>
          <w:spacing w:val="0"/>
          <w:sz w:val="32"/>
          <w:szCs w:val="32"/>
          <w:shd w:val="clear" w:fill="FFFFFF"/>
        </w:rPr>
      </w:pPr>
      <w:r>
        <w:rPr>
          <w:rFonts w:hint="eastAsia" w:ascii="Times New Roman" w:hAnsi="Times New Roman" w:eastAsia="仿宋_GB2312" w:cs="Times New Roman"/>
          <w:b w:val="0"/>
          <w:bCs w:val="0"/>
          <w:kern w:val="2"/>
          <w:sz w:val="32"/>
          <w:szCs w:val="32"/>
          <w:lang w:val="en-US" w:eastAsia="zh-CN" w:bidi="ar-SA"/>
        </w:rPr>
        <w:t>A10.</w:t>
      </w:r>
      <w:r>
        <w:rPr>
          <w:rFonts w:hint="eastAsia" w:ascii="Times New Roman" w:hAnsi="Times New Roman" w:eastAsia="仿宋_GB2312" w:cs="仿宋_GB2312"/>
          <w:i w:val="0"/>
          <w:iCs w:val="0"/>
          <w:caps w:val="0"/>
          <w:color w:val="333333"/>
          <w:spacing w:val="0"/>
          <w:sz w:val="32"/>
          <w:szCs w:val="32"/>
          <w:shd w:val="clear" w:fill="FFFFFF"/>
        </w:rPr>
        <w:t>指标对两者进行了明确区分和差异化要求。“兼职教师”指从校外聘请的承担教学任务的人员</w:t>
      </w:r>
      <w:r>
        <w:rPr>
          <w:rFonts w:hint="eastAsia" w:ascii="Times New Roman" w:hAnsi="Times New Roman" w:eastAsia="仿宋_GB2312" w:cs="仿宋_GB2312"/>
          <w:i w:val="0"/>
          <w:iCs w:val="0"/>
          <w:caps w:val="0"/>
          <w:color w:val="333333"/>
          <w:spacing w:val="0"/>
          <w:sz w:val="32"/>
          <w:szCs w:val="32"/>
          <w:shd w:val="clear" w:fill="FFFFFF"/>
          <w:lang w:eastAsia="zh-CN"/>
        </w:rPr>
        <w:t>，</w:t>
      </w:r>
      <w:r>
        <w:rPr>
          <w:rFonts w:hint="eastAsia" w:ascii="Times New Roman" w:hAnsi="Times New Roman" w:eastAsia="仿宋_GB2312" w:cs="仿宋_GB2312"/>
          <w:i w:val="0"/>
          <w:iCs w:val="0"/>
          <w:caps w:val="0"/>
          <w:color w:val="333333"/>
          <w:spacing w:val="0"/>
          <w:sz w:val="32"/>
          <w:szCs w:val="32"/>
          <w:shd w:val="clear" w:fill="FFFFFF"/>
        </w:rPr>
        <w:t>是一个更宽泛的概念，</w:t>
      </w:r>
      <w:r>
        <w:rPr>
          <w:rFonts w:hint="eastAsia" w:ascii="Times New Roman" w:hAnsi="Times New Roman" w:eastAsia="仿宋_GB2312" w:cs="仿宋_GB2312"/>
          <w:i w:val="0"/>
          <w:iCs w:val="0"/>
          <w:caps w:val="0"/>
          <w:color w:val="333333"/>
          <w:spacing w:val="0"/>
          <w:sz w:val="32"/>
          <w:szCs w:val="32"/>
          <w:shd w:val="clear" w:fill="FFFFFF"/>
          <w:lang w:val="en-US" w:eastAsia="zh-CN"/>
        </w:rPr>
        <w:t>包括校外教师、行业导师，</w:t>
      </w:r>
      <w:r>
        <w:rPr>
          <w:rFonts w:hint="eastAsia" w:ascii="Times New Roman" w:hAnsi="Times New Roman" w:eastAsia="仿宋_GB2312" w:cs="仿宋_GB2312"/>
          <w:i w:val="0"/>
          <w:iCs w:val="0"/>
          <w:caps w:val="0"/>
          <w:color w:val="333333"/>
          <w:spacing w:val="0"/>
          <w:sz w:val="32"/>
          <w:szCs w:val="32"/>
          <w:shd w:val="clear" w:fill="FFFFFF"/>
        </w:rPr>
        <w:t>其总数占专兼职教师的比例不得超过30%，以防止师资队伍过度外部化。而“行业导师”特指来自行业企业一线的高技能人才，他们可能无教师资格证，但能带来最前沿的技术和工艺。对其要求一是行业导师占专兼</w:t>
      </w:r>
      <w:r>
        <w:rPr>
          <w:rFonts w:hint="eastAsia" w:ascii="Times New Roman" w:hAnsi="Times New Roman" w:eastAsia="仿宋_GB2312" w:cs="仿宋_GB2312"/>
          <w:i w:val="0"/>
          <w:iCs w:val="0"/>
          <w:caps w:val="0"/>
          <w:color w:val="333333"/>
          <w:spacing w:val="0"/>
          <w:sz w:val="32"/>
          <w:szCs w:val="32"/>
          <w:shd w:val="clear" w:fill="FFFFFF"/>
          <w:lang w:val="en-US" w:eastAsia="zh-CN"/>
        </w:rPr>
        <w:t>职</w:t>
      </w:r>
      <w:r>
        <w:rPr>
          <w:rFonts w:hint="eastAsia" w:ascii="Times New Roman" w:hAnsi="Times New Roman" w:eastAsia="仿宋_GB2312" w:cs="仿宋_GB2312"/>
          <w:i w:val="0"/>
          <w:iCs w:val="0"/>
          <w:caps w:val="0"/>
          <w:color w:val="333333"/>
          <w:spacing w:val="0"/>
          <w:sz w:val="32"/>
          <w:szCs w:val="32"/>
          <w:shd w:val="clear" w:fill="FFFFFF"/>
        </w:rPr>
        <w:t>教师比例应≥25%，以强化校企融合；二是他们承担的专业课课时比例应≥15%，确保其深度参与人才培养。这体现了评价引导学校构建以专任教师为主体、积极引入行业企业优质资源的“双师”结构教学团队的政策导向。</w:t>
      </w:r>
    </w:p>
    <w:p w14:paraId="38C281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Q11.</w:t>
      </w:r>
      <w:r>
        <w:rPr>
          <w:rFonts w:hint="eastAsia" w:ascii="Times New Roman" w:hAnsi="Times New Roman" w:eastAsia="仿宋_GB2312" w:cs="Times New Roman"/>
          <w:b/>
          <w:bCs/>
          <w:kern w:val="2"/>
          <w:sz w:val="32"/>
          <w:szCs w:val="32"/>
          <w:lang w:val="en-US" w:eastAsia="zh-CN" w:bidi="ar-SA"/>
        </w:rPr>
        <w:t>评估结果有哪几种？与指标点有何对应关系？</w:t>
      </w:r>
    </w:p>
    <w:p w14:paraId="5647F3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kern w:val="2"/>
          <w:sz w:val="32"/>
          <w:szCs w:val="32"/>
          <w:lang w:val="en-US" w:eastAsia="zh-CN" w:bidi="ar-SA"/>
        </w:rPr>
        <w:t>A11.</w:t>
      </w:r>
      <w:r>
        <w:rPr>
          <w:rFonts w:hint="eastAsia" w:ascii="Times New Roman" w:hAnsi="Times New Roman" w:eastAsia="仿宋_GB2312" w:cs="仿宋_GB2312"/>
          <w:i w:val="0"/>
          <w:iCs w:val="0"/>
          <w:caps w:val="0"/>
          <w:color w:val="333333"/>
          <w:spacing w:val="0"/>
          <w:sz w:val="32"/>
          <w:szCs w:val="32"/>
          <w:shd w:val="clear" w:fill="FFFFFF"/>
          <w:lang w:val="en-US" w:eastAsia="zh-CN"/>
        </w:rPr>
        <w:t>评估结果分为“通过”“待复评”“暂缓通过”三种。评估结果与指标点的对应关系为：1.办学条件达标监测点、教育教学关键要素评估观测点中，符合要求的指标均在85%及以上，且5个重要观测点均符合要求的为“通过”。2.以下三种情形中，出现一种情形即为“待复评”：（1）符合要求的办学条件达标监测点85—60%之间；（2）符合要求的教育教学关键要素评估观测点85—60%之间；（3）重要观测点有1—2个不符合要求。3.以下三种情形中，出现一种情形即为“暂缓通过”：（1）符合要求的办学条件达标监测点60%以下；（2）符合要求的教育教学关键要素评估观测点60%以下；（3）重要观测点有3个及以上不符合要求。</w:t>
      </w:r>
      <w:bookmarkEnd w:id="0"/>
    </w:p>
    <w:p w14:paraId="4E4B29AE">
      <w:pPr>
        <w:jc w:val="center"/>
        <w:rPr>
          <w:rFonts w:hint="default" w:ascii="Times New Roman" w:hAnsi="Times New Roman" w:eastAsia="黑体"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A85CF9-9903-4D83-ACCF-360862C575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C7B77706-C8B2-4D49-94AF-9C0DDCB144A0}"/>
  </w:font>
  <w:font w:name="仿宋_GB2312">
    <w:panose1 w:val="02010609030101010101"/>
    <w:charset w:val="86"/>
    <w:family w:val="modern"/>
    <w:pitch w:val="default"/>
    <w:sig w:usb0="00000001" w:usb1="080E0000" w:usb2="00000000" w:usb3="00000000" w:csb0="00040000" w:csb1="00000000"/>
    <w:embedRegular r:id="rId3" w:fontKey="{1CB4D33A-4866-4626-B732-20C9EBCA7DDE}"/>
  </w:font>
  <w:font w:name="仿宋">
    <w:panose1 w:val="02010609060101010101"/>
    <w:charset w:val="86"/>
    <w:family w:val="auto"/>
    <w:pitch w:val="default"/>
    <w:sig w:usb0="800002BF" w:usb1="38CF7CFA" w:usb2="00000016" w:usb3="00000000" w:csb0="00040001" w:csb1="00000000"/>
    <w:embedRegular r:id="rId4" w:fontKey="{0039593D-6FF0-40E1-83F0-0A37E5170163}"/>
  </w:font>
  <w:font w:name="方正仿宋_GB2312">
    <w:panose1 w:val="02000000000000000000"/>
    <w:charset w:val="86"/>
    <w:family w:val="auto"/>
    <w:pitch w:val="default"/>
    <w:sig w:usb0="A00002BF" w:usb1="184F6CFA" w:usb2="00000012" w:usb3="00000000" w:csb0="00040001" w:csb1="00000000"/>
    <w:embedRegular r:id="rId5" w:fontKey="{DA09ED83-EE2C-4563-AEDE-ABA75E8327D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20EE7"/>
    <w:rsid w:val="08720EE7"/>
    <w:rsid w:val="130C19FD"/>
    <w:rsid w:val="32063522"/>
    <w:rsid w:val="57AC0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da2afaf7-2c34-44ea-bc39-5105aa54109a</errorID>
      <errorWord>“双师”型教师</errorWord>
      <group>L1_Political</group>
      <groupName>政治性问题</groupName>
      <ability>L2_Keyword</ability>
      <abilityName>固定表述</abilityName>
      <candidateList>
        <item>“双师型”教师</item>
      </candidateList>
      <explain>注意检查当前固定表述标点是否使用规范。</explain>
      <paraID>79837CEC</paraID>
      <start>3</start>
      <end>10</end>
      <status>unmodified</status>
      <modifiedWord/>
      <trackRevisions>false</trackRevisions>
    </reviewItem>
    <reviewItem>
      <errorID>3621692b-c4cb-45c6-bd81-b907b4bf9857</errorID>
      <errorWord>“双师”型教师</errorWord>
      <group>L1_Political</group>
      <groupName>政治性问题</groupName>
      <ability>L2_Keyword</ability>
      <abilityName>固定表述</abilityName>
      <candidateList>
        <item>“双师型”教师</item>
      </candidateList>
      <explain>注意检查当前固定表述标点是否使用规范。</explain>
      <paraID>363D2444</paraID>
      <start>3</start>
      <end>10</end>
      <status>ignored</status>
      <modifiedWord/>
      <trackRevisions>false</trackRevisions>
    </reviewItem>
    <reviewItem>
      <errorID>23167b70-ef8b-4d46-a9b1-4a28c3b8ab83</errorID>
      <errorWord>1）、</errorWord>
      <group>L1_Punc</group>
      <groupName>标点问题</groupName>
      <ability>L2_Punc</ability>
      <abilityName>标点符号检查</abilityName>
      <candidateList>
        <item>1）</item>
      </candidateList>
      <explain>根据国标GB/T 15834-2011《标点符号用法》中的4.5.3.3节，带括号的汉字数字或阿拉伯数字表次序时，后面通常不加顿号。如“（一）指导思想”“（二）行动指南”。</explain>
      <paraID>6BD9ADBA</paraID>
      <start>43</start>
      <end>46</end>
      <status>ignored</status>
      <modifiedWord/>
      <trackRevisions>false</trackRevisions>
    </reviewItem>
  </reviewItems>
  <config/>
</contractReview>
</file>

<file path=customXml/itemProps1.xml><?xml version="1.0" encoding="utf-8"?>
<ds:datastoreItem xmlns:ds="http://schemas.openxmlformats.org/officeDocument/2006/customXml" ds:itemID="{d5d2085a-357d-4fd5-8818-3c2b6cd32a83}">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3712</Words>
  <Characters>4030</Characters>
  <Lines>0</Lines>
  <Paragraphs>0</Paragraphs>
  <TotalTime>5</TotalTime>
  <ScaleCrop>false</ScaleCrop>
  <LinksUpToDate>false</LinksUpToDate>
  <CharactersWithSpaces>4030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2025-12-15T07:02:00Z</dcterms:created>
  <dc:creator>YJT</dc:creator>
  <cp:lastModifiedBy>YJT</cp:lastModifiedBy>
  <dcterms:modified xsi:type="dcterms:W3CDTF">2025-12-16T07:50:26Z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98DF69A762984DD796FD0D511CD0F7CC_11</vt:lpwstr>
  </property>
  <property fmtid="{D5CDD505-2E9C-101B-9397-08002B2CF9AE}" pid="4" name="KSOTemplateDocerSaveRecord">
    <vt:lpwstr>eyJoZGlkIjoiZTI0ZjZkODVmNTE5YzEwMzVjYTExZjA5NzZlODliZWYiLCJ1c2VySWQiOiI3MjI2ODA0OTEifQ==</vt:lpwstr>
  </property>
</Properties>
</file>